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E6" w:rsidRDefault="000000E6" w:rsidP="000000E6">
      <w:pPr>
        <w:pStyle w:val="ConsPlusNonformat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0000E6" w:rsidRDefault="000000E6" w:rsidP="000000E6">
      <w:pPr>
        <w:pStyle w:val="ConsPlusNonformat"/>
        <w:jc w:val="both"/>
        <w:rPr>
          <w:rFonts w:ascii="Arial Narrow" w:hAnsi="Arial Narrow"/>
          <w:color w:val="000000"/>
          <w:sz w:val="28"/>
          <w:szCs w:val="28"/>
        </w:rPr>
      </w:pP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акционерное общество «Фонд Ковчег»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ИНН2466032192,ОГРН1022402645803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Достоверность данных, содержащихся в годовом отчете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Публичного акционерного общества «Фонд Ковчег» за 2019</w:t>
      </w:r>
      <w:r w:rsidR="008B4F74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p w:rsidR="008B4F74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"Подтверждаю"</w:t>
      </w:r>
      <w:r w:rsidR="008B4F74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Ревизионной Комиссии общества ПАО «Фонд </w:t>
      </w:r>
      <w:r w:rsidR="00982836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B4F74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овчег»</w:t>
      </w:r>
    </w:p>
    <w:p w:rsidR="000000E6" w:rsidRPr="00FD30CD" w:rsidRDefault="008B4F74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от </w:t>
      </w:r>
      <w:r w:rsidR="004D4A11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D4A11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A11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Председатель Ревизионной комиссии Общества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_________________________/Вахрушина О.В.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(подпись)                  (Ф.И.О.)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Предварительно   «Утвержден» </w:t>
      </w: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Советом  директоров Общества                              </w:t>
      </w: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</w:t>
      </w:r>
      <w:r w:rsidR="004D4A11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-2020(</w:t>
      </w:r>
      <w:r w:rsidR="004D4A11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156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от "</w:t>
      </w:r>
      <w:r w:rsidR="004D4A11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 </w:t>
      </w:r>
      <w:r w:rsidR="004D4A11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</w:t>
      </w:r>
      <w:r w:rsidR="004A3BCE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115508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 xml:space="preserve">«Утвержден» </w:t>
      </w:r>
    </w:p>
    <w:p w:rsidR="00115508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>решением  общего собрания</w:t>
      </w:r>
    </w:p>
    <w:p w:rsidR="00115508" w:rsidRPr="00FD30CD" w:rsidRDefault="00111B29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>а</w:t>
      </w:r>
      <w:r w:rsidR="00115508" w:rsidRPr="00FD30CD">
        <w:rPr>
          <w:color w:val="000000" w:themeColor="text1"/>
          <w:szCs w:val="24"/>
        </w:rPr>
        <w:t>кционеров ПАО «Фонд Ковчег»</w:t>
      </w:r>
    </w:p>
    <w:p w:rsidR="00115508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proofErr w:type="gramStart"/>
      <w:r w:rsidRPr="00FD30CD">
        <w:rPr>
          <w:color w:val="000000" w:themeColor="text1"/>
          <w:szCs w:val="24"/>
        </w:rPr>
        <w:t>Протокол</w:t>
      </w:r>
      <w:r w:rsidR="00111B29" w:rsidRPr="00FD30CD">
        <w:rPr>
          <w:color w:val="000000" w:themeColor="text1"/>
          <w:szCs w:val="24"/>
        </w:rPr>
        <w:t xml:space="preserve"> </w:t>
      </w:r>
      <w:r w:rsidRPr="00FD30CD">
        <w:rPr>
          <w:color w:val="000000" w:themeColor="text1"/>
          <w:szCs w:val="24"/>
        </w:rPr>
        <w:t xml:space="preserve"> б</w:t>
      </w:r>
      <w:proofErr w:type="gramEnd"/>
      <w:r w:rsidRPr="00FD30CD">
        <w:rPr>
          <w:color w:val="000000" w:themeColor="text1"/>
          <w:szCs w:val="24"/>
        </w:rPr>
        <w:t xml:space="preserve">/н от </w:t>
      </w:r>
      <w:r w:rsidRPr="002F7E43">
        <w:rPr>
          <w:color w:val="FF0000"/>
          <w:szCs w:val="24"/>
        </w:rPr>
        <w:t>«</w:t>
      </w:r>
      <w:r w:rsidR="00D4139B" w:rsidRPr="002F7E43">
        <w:rPr>
          <w:color w:val="FF0000"/>
          <w:szCs w:val="24"/>
        </w:rPr>
        <w:t>05</w:t>
      </w:r>
      <w:r w:rsidRPr="00FD30CD">
        <w:rPr>
          <w:color w:val="000000" w:themeColor="text1"/>
          <w:szCs w:val="24"/>
        </w:rPr>
        <w:t xml:space="preserve">»  </w:t>
      </w:r>
      <w:r w:rsidR="00D4139B">
        <w:rPr>
          <w:color w:val="000000" w:themeColor="text1"/>
          <w:szCs w:val="24"/>
        </w:rPr>
        <w:t>октября</w:t>
      </w:r>
      <w:r w:rsidRPr="00FD30CD">
        <w:rPr>
          <w:color w:val="000000" w:themeColor="text1"/>
          <w:szCs w:val="24"/>
        </w:rPr>
        <w:t xml:space="preserve"> 2020 года</w:t>
      </w:r>
    </w:p>
    <w:p w:rsidR="005D1F4F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 xml:space="preserve"> </w:t>
      </w:r>
    </w:p>
    <w:p w:rsidR="005D1F4F" w:rsidRPr="00FD30CD" w:rsidRDefault="005D1F4F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0000E6" w:rsidRPr="00FD30CD" w:rsidRDefault="000000E6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0000E6" w:rsidRPr="00FD30CD" w:rsidRDefault="000000E6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ГОДОВОЙ ОТЧЕТ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Публичного акционерного общества «Фонд Ковчег»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 2019 год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D1E" w:rsidRPr="00FD30CD" w:rsidRDefault="00F06D1E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71A8" w:rsidRPr="00FD30CD" w:rsidRDefault="006A71A8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6A71A8" w:rsidRPr="00FD30CD" w:rsidRDefault="009328AE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Сведения о положении акционерного общества в отрасли;</w:t>
      </w:r>
    </w:p>
    <w:p w:rsidR="00295F23" w:rsidRPr="00FD30CD" w:rsidRDefault="00F06D1E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295F23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показатели бухгалтерской (финансовой) отчетности общества</w:t>
      </w:r>
      <w:r w:rsidR="000063DC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95F23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Приоритетные направления деятельности акционерного общества;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Отчет совета директоров акционерного общества о результатах развития акционерного общества по приоритетным направлениям его деятельности;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833D09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формацию об объеме каждого из использованных акционерным обществом в отчетном году видов энергетических ресурсов  в натуральном выражении и в денежном выражении;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Перспективы развития акционерного общества;</w:t>
      </w:r>
    </w:p>
    <w:p w:rsidR="00C26A2F" w:rsidRPr="00FD30CD" w:rsidRDefault="000063DC" w:rsidP="009D1CA5">
      <w:pPr>
        <w:autoSpaceDE w:val="0"/>
        <w:autoSpaceDN w:val="0"/>
        <w:adjustRightInd w:val="0"/>
        <w:spacing w:before="3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Отчет о выплате объявленных (начисленных) дивидендов по акциям акционерного общества</w:t>
      </w:r>
      <w:r w:rsidR="009D1CA5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</w:t>
      </w:r>
      <w:r w:rsidR="00C26A2F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нформация о распределении прибыли общества, полученной в отчетном  году: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657793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Описание основных факторов риска, связанных с деятельностью акционерного общества;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Перечень совершенных акционерным обществом в отчетном году сделок, признаваемых в соответствии с Федеральным </w:t>
      </w:r>
      <w:hyperlink r:id="rId6" w:history="1">
        <w:r w:rsidR="006A71A8" w:rsidRPr="00FD30C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"Об акционерных обществах" крупными сделками</w:t>
      </w:r>
      <w:r w:rsidR="00991FE2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Перечень совершенных акционерным обществом в отчетном году сделок, признаваемых в соответствии с Федеральным </w:t>
      </w:r>
      <w:hyperlink r:id="rId7" w:history="1">
        <w:r w:rsidR="006A71A8" w:rsidRPr="00FD30C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"Об акционерных обществах" сделками, в совершении которых имелась заинтересованность</w:t>
      </w:r>
      <w:r w:rsidR="00B71B23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A71A8" w:rsidRPr="00FD30CD" w:rsidRDefault="000063DC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совета директоров акционерного общества;</w:t>
      </w:r>
    </w:p>
    <w:p w:rsidR="006A71A8" w:rsidRPr="00FD30CD" w:rsidRDefault="006A71A8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0063DC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Сведения о лице, занимающем должность (осуществляющем функции) единоличного исполнительного органа акционерного общества</w:t>
      </w:r>
      <w:r w:rsidR="00991FE2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A71A8" w:rsidRPr="00FD30CD" w:rsidRDefault="006A71A8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0063DC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положения политики акционерного общества в области вознаграждения и (или) компенсации расходов;</w:t>
      </w:r>
    </w:p>
    <w:p w:rsidR="006A71A8" w:rsidRPr="00FD30CD" w:rsidRDefault="008177E5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0063DC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Сведения (отчет) о соблюдении акционерным обществом принципов и рекомендаций </w:t>
      </w:r>
      <w:hyperlink r:id="rId8" w:history="1">
        <w:r w:rsidR="006A71A8" w:rsidRPr="00FD30C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Кодекса</w:t>
        </w:r>
      </w:hyperlink>
      <w:r w:rsidR="006A71A8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корпоративного управления, рекомендованного к применению Банком России (далее - Кодекс корпоративного управления);</w:t>
      </w:r>
    </w:p>
    <w:p w:rsidR="006A71A8" w:rsidRPr="00007E1A" w:rsidRDefault="006A71A8" w:rsidP="002976CF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7E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0063DC" w:rsidRPr="00007E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07E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4491" w:rsidRPr="00007E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7E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Сведения об утверждении годового отчета общим собранием акционеров или советом директоров акционерного общества</w:t>
      </w:r>
      <w:r w:rsidR="00B71B23" w:rsidRPr="00007E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Pr="00007E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864D6" w:rsidRDefault="00007E1A" w:rsidP="002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</w:p>
    <w:p w:rsidR="00414E81" w:rsidRPr="00414E81" w:rsidRDefault="00414E81" w:rsidP="002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16. Контактная информация.</w:t>
      </w:r>
    </w:p>
    <w:p w:rsidR="009328AE" w:rsidRPr="00007E1A" w:rsidRDefault="009328AE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DB27CA" w:rsidRDefault="00DB27CA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2354" w:rsidRPr="00FD30CD" w:rsidRDefault="00FF1FED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 о положении акционерного общества в отрасли;</w:t>
      </w:r>
    </w:p>
    <w:p w:rsidR="0002331C" w:rsidRPr="00FD30CD" w:rsidRDefault="0002331C" w:rsidP="0002331C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Полное наименование общества: Публичное акционерное общество «Фонд Ковчег». 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Сокращенное наименование общества: ПАО «Фонд Ковчег».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Номер свидетельства </w:t>
      </w:r>
      <w:r w:rsidR="00C54051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государственной регистрации в качестве юридического лица: 1022402645803, дата  выдачи 19.08.2002 год.</w:t>
      </w:r>
    </w:p>
    <w:p w:rsidR="00140CF1" w:rsidRPr="00FD30CD" w:rsidRDefault="00140CF1" w:rsidP="00140CF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Идентификационный номер налогоплательщика </w:t>
      </w:r>
      <w:r w:rsidRPr="00FD30CD">
        <w:rPr>
          <w:rFonts w:eastAsiaTheme="minorEastAsia"/>
          <w:bCs/>
          <w:iCs/>
          <w:color w:val="000000" w:themeColor="text1"/>
        </w:rPr>
        <w:t>2466032192</w:t>
      </w:r>
    </w:p>
    <w:p w:rsidR="00C54051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Местонахождение: Российская Федерация, 660099, г. Красноярск ул. Железнодорожников, дом 20 «Г», офис 193, контактный телефон: (391)221-77-45,факс:(391)221-62-66,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kovcheg</w:t>
      </w:r>
      <w:proofErr w:type="spell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factor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02331C" w:rsidRPr="00FD30CD" w:rsidRDefault="009E6374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(Коды ОКВЭД)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64.99.1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Штатная численность работников общества: 6 человек.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наименование и адрес реестродержателя: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Красноярский филиал АО ВТБ Регистратор  лицензия на осуществление деятельности по ведению реестра № 045-13970-000001, дата выдачи 21.02.2008, бессрочная, адрес: 660049, г. Красноярск, ул. Урицкого, 117, офис. 213, тел.8(391) 229-53-57</w:t>
      </w:r>
    </w:p>
    <w:p w:rsidR="0002331C" w:rsidRPr="00FD30CD" w:rsidRDefault="007A1C48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ставн</w:t>
      </w:r>
      <w:r w:rsidR="00AF2798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gramEnd"/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капитала общества: 3 124 730 рублей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составляет 100 %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количество акций:</w:t>
      </w:r>
      <w:r w:rsidR="00EF5A95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3 124 730 шт., количество обыкновенных акций:3 124 730 шт., привилегированных акций общество не имеет. 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Номинальная стоимость </w:t>
      </w:r>
      <w:proofErr w:type="gram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обыкновенной</w:t>
      </w:r>
      <w:proofErr w:type="gram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акций: 1 рублей.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регистрационный номер выпуска обыкновенных именных  акций: 1-01-40062-F, дата государственной регистрации выпуска ценных бумаг: 16.12.1992.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акций, находящихся в собственности Российской Федерации: 68 673 штук.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F5A95" w:rsidRPr="00FD30CD" w:rsidRDefault="00EF5A95" w:rsidP="00EF5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Российской Федерации в уставном капитале с указанием доли Российской Федерации по обыкновенным именным  акциям составляет: 2.1976 % от УК Общества;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Общество не участвует в банковских группах, банковских холдингах, холдингах и ассоциациях.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Акционеры общества, доля которых в уставном капитале составляет более 2 %: </w:t>
      </w:r>
    </w:p>
    <w:p w:rsidR="0002331C" w:rsidRPr="00FD30CD" w:rsidRDefault="00B65070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Колбасник Анжелика Иосифовна, д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оля участия лица в уставном капитале эмитента: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26.1107%</w:t>
      </w:r>
    </w:p>
    <w:p w:rsidR="0002331C" w:rsidRPr="00FD30CD" w:rsidRDefault="00B65070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Сибтехмонтаж</w:t>
      </w:r>
      <w:proofErr w:type="spellEnd"/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- ЦЕНТР"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ИНН: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2464073500, 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ОГРН: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1052464062200,</w:t>
      </w:r>
      <w:r w:rsidR="00126BF3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адрес: 660123, Российская Федерация, г. Красноярск, пр. Красноярский рабочий, 28,</w:t>
      </w:r>
      <w:r w:rsidR="00126BF3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оля участия лица в уставном капитале эмитента: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10%</w:t>
      </w:r>
    </w:p>
    <w:p w:rsidR="0002331C" w:rsidRPr="00FD30CD" w:rsidRDefault="00B65070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Общество с ограниченной ответственностью "Геликон»,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ИНН: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2460057602,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ОГРН: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1042401781300</w:t>
      </w:r>
      <w:r w:rsidR="000072B5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адрес:</w:t>
      </w:r>
      <w:r w:rsidR="00126BF3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331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660099,Российская Федерация, г. Красноярск ул. Железнодорожников, дом 20 «Г», офис 193 , доля участия лица в уставном капитале эмитента:</w:t>
      </w:r>
      <w:r w:rsidR="0002331C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28,65%</w:t>
      </w:r>
    </w:p>
    <w:p w:rsidR="0002331C" w:rsidRPr="00FD30CD" w:rsidRDefault="00B65070" w:rsidP="007F0D05">
      <w:pPr>
        <w:pStyle w:val="a5"/>
        <w:rPr>
          <w:bCs/>
          <w:iCs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r w:rsidR="0002331C" w:rsidRPr="00FD30CD">
        <w:rPr>
          <w:color w:val="000000" w:themeColor="text1"/>
        </w:rPr>
        <w:t>4.Управления социальной защиты населения Администрации края,</w:t>
      </w:r>
      <w:r w:rsidR="0002331C" w:rsidRPr="00FD30CD">
        <w:rPr>
          <w:bCs/>
          <w:iCs/>
          <w:color w:val="000000" w:themeColor="text1"/>
        </w:rPr>
        <w:t xml:space="preserve"> адрес:</w:t>
      </w:r>
      <w:r w:rsidR="0002331C" w:rsidRPr="00FD30CD">
        <w:rPr>
          <w:color w:val="000000" w:themeColor="text1"/>
        </w:rPr>
        <w:t xml:space="preserve"> Российская Федерация</w:t>
      </w:r>
      <w:r w:rsidR="00126BF3" w:rsidRPr="00FD30CD">
        <w:rPr>
          <w:color w:val="000000" w:themeColor="text1"/>
        </w:rPr>
        <w:t>,</w:t>
      </w:r>
      <w:r w:rsidR="0002331C" w:rsidRPr="00FD30CD">
        <w:rPr>
          <w:bCs/>
          <w:iCs/>
          <w:color w:val="000000" w:themeColor="text1"/>
        </w:rPr>
        <w:t xml:space="preserve"> Красноярский край, </w:t>
      </w:r>
      <w:r w:rsidR="0002331C" w:rsidRPr="00FD30CD">
        <w:rPr>
          <w:color w:val="000000" w:themeColor="text1"/>
        </w:rPr>
        <w:t>доля участия лица в уставном капитале эмитента:</w:t>
      </w:r>
      <w:r w:rsidR="0002331C" w:rsidRPr="00FD30CD">
        <w:rPr>
          <w:bCs/>
          <w:iCs/>
          <w:color w:val="000000" w:themeColor="text1"/>
        </w:rPr>
        <w:t xml:space="preserve"> 2,20%,</w:t>
      </w:r>
    </w:p>
    <w:p w:rsidR="0002331C" w:rsidRPr="00FD30CD" w:rsidRDefault="0002331C" w:rsidP="007F0D05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Наличие специального права на участие Российской Федерации в управлении обществом ("золотой акции")</w:t>
      </w:r>
      <w:r w:rsidR="00882FFC" w:rsidRPr="00FD30CD">
        <w:rPr>
          <w:color w:val="000000" w:themeColor="text1"/>
        </w:rPr>
        <w:t xml:space="preserve"> </w:t>
      </w:r>
      <w:r w:rsidRPr="00FD30CD">
        <w:rPr>
          <w:color w:val="000000" w:themeColor="text1"/>
        </w:rPr>
        <w:t>у общества нет.</w:t>
      </w:r>
    </w:p>
    <w:p w:rsidR="00760981" w:rsidRPr="00CB3651" w:rsidRDefault="0002331C" w:rsidP="007F0D05">
      <w:pPr>
        <w:pStyle w:val="a5"/>
        <w:rPr>
          <w:color w:val="FF0000"/>
        </w:rPr>
      </w:pPr>
      <w:r w:rsidRPr="00FD30CD">
        <w:rPr>
          <w:color w:val="000000" w:themeColor="text1"/>
        </w:rPr>
        <w:t>Полное наименование и адрес аудитора общества:</w:t>
      </w:r>
      <w:r w:rsidRPr="00FD30CD">
        <w:rPr>
          <w:bCs/>
          <w:iCs/>
          <w:color w:val="000000" w:themeColor="text1"/>
        </w:rPr>
        <w:t xml:space="preserve"> </w:t>
      </w:r>
      <w:proofErr w:type="gramStart"/>
      <w:r w:rsidRPr="002F1829">
        <w:rPr>
          <w:color w:val="000000" w:themeColor="text1"/>
        </w:rPr>
        <w:t>Общество с ограниченной ответственностью «Траст-Аудит» (ОГРН 1142468067444, ИНН/КПП 2466278478/246601001, место нахождения: 660060, г. Красноярск, ул. Кирова дом 43,</w:t>
      </w:r>
      <w:r w:rsidR="00CC522E" w:rsidRPr="002F1829">
        <w:rPr>
          <w:color w:val="000000" w:themeColor="text1"/>
        </w:rPr>
        <w:t xml:space="preserve"> </w:t>
      </w:r>
      <w:r w:rsidRPr="002F1829">
        <w:rPr>
          <w:color w:val="000000" w:themeColor="text1"/>
        </w:rPr>
        <w:t xml:space="preserve">офис 303, генеральный директор -  Лукина Ирина Александровна, </w:t>
      </w:r>
      <w:r w:rsidR="00D855CF" w:rsidRPr="002F1829">
        <w:rPr>
          <w:color w:val="000000" w:themeColor="text1"/>
        </w:rPr>
        <w:t>член с</w:t>
      </w:r>
      <w:r w:rsidRPr="002F1829">
        <w:rPr>
          <w:color w:val="000000" w:themeColor="text1"/>
        </w:rPr>
        <w:t>аморегулируемой организации аудиторов</w:t>
      </w:r>
      <w:r w:rsidR="00D855CF" w:rsidRPr="002F1829">
        <w:rPr>
          <w:color w:val="000000" w:themeColor="text1"/>
        </w:rPr>
        <w:t>:</w:t>
      </w:r>
      <w:proofErr w:type="gramEnd"/>
      <w:r w:rsidRPr="002F1829">
        <w:rPr>
          <w:color w:val="000000" w:themeColor="text1"/>
        </w:rPr>
        <w:t xml:space="preserve"> Ассоциаци</w:t>
      </w:r>
      <w:r w:rsidR="00D855CF" w:rsidRPr="002F1829">
        <w:rPr>
          <w:color w:val="000000" w:themeColor="text1"/>
        </w:rPr>
        <w:t>я</w:t>
      </w:r>
      <w:r w:rsidRPr="002F1829">
        <w:rPr>
          <w:color w:val="000000" w:themeColor="text1"/>
        </w:rPr>
        <w:t xml:space="preserve"> «Содружество»</w:t>
      </w:r>
      <w:r w:rsidR="00D855CF" w:rsidRPr="002F1829">
        <w:rPr>
          <w:color w:val="000000" w:themeColor="text1"/>
        </w:rPr>
        <w:t xml:space="preserve"> (СРО </w:t>
      </w:r>
      <w:proofErr w:type="gramStart"/>
      <w:r w:rsidR="00D855CF" w:rsidRPr="002F1829">
        <w:rPr>
          <w:color w:val="000000" w:themeColor="text1"/>
        </w:rPr>
        <w:t>АСС</w:t>
      </w:r>
      <w:proofErr w:type="gramEnd"/>
      <w:r w:rsidR="00D855CF" w:rsidRPr="002F1829">
        <w:rPr>
          <w:color w:val="000000" w:themeColor="text1"/>
        </w:rPr>
        <w:t>)</w:t>
      </w:r>
      <w:r w:rsidRPr="002F1829">
        <w:rPr>
          <w:color w:val="000000" w:themeColor="text1"/>
        </w:rPr>
        <w:t xml:space="preserve"> 14 декабря 2016 года за основным регистрационным номером: 11606072951, </w:t>
      </w:r>
      <w:r w:rsidRPr="002F1829">
        <w:rPr>
          <w:color w:val="000000" w:themeColor="text1"/>
          <w:lang w:val="en-US"/>
        </w:rPr>
        <w:t>E</w:t>
      </w:r>
      <w:r w:rsidRPr="002F1829">
        <w:rPr>
          <w:color w:val="000000" w:themeColor="text1"/>
        </w:rPr>
        <w:t>-</w:t>
      </w:r>
      <w:r w:rsidRPr="002F1829">
        <w:rPr>
          <w:color w:val="000000" w:themeColor="text1"/>
          <w:lang w:val="en-US"/>
        </w:rPr>
        <w:t>mail</w:t>
      </w:r>
      <w:r w:rsidRPr="002F1829">
        <w:rPr>
          <w:color w:val="000000" w:themeColor="text1"/>
        </w:rPr>
        <w:t xml:space="preserve">: </w:t>
      </w:r>
      <w:hyperlink r:id="rId9" w:history="1">
        <w:r w:rsidRPr="002F1829">
          <w:rPr>
            <w:color w:val="000000" w:themeColor="text1"/>
            <w:u w:val="single"/>
            <w:lang w:val="en-US"/>
          </w:rPr>
          <w:t>maxxwell</w:t>
        </w:r>
        <w:r w:rsidRPr="002F1829">
          <w:rPr>
            <w:color w:val="000000" w:themeColor="text1"/>
            <w:u w:val="single"/>
          </w:rPr>
          <w:t>@</w:t>
        </w:r>
        <w:r w:rsidRPr="002F1829">
          <w:rPr>
            <w:color w:val="000000" w:themeColor="text1"/>
            <w:u w:val="single"/>
            <w:lang w:val="en-US"/>
          </w:rPr>
          <w:t>list</w:t>
        </w:r>
        <w:r w:rsidRPr="002F1829">
          <w:rPr>
            <w:color w:val="000000" w:themeColor="text1"/>
            <w:u w:val="single"/>
          </w:rPr>
          <w:t>.</w:t>
        </w:r>
        <w:proofErr w:type="spellStart"/>
        <w:r w:rsidRPr="002F1829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Pr="002F1829">
        <w:rPr>
          <w:color w:val="000000" w:themeColor="text1"/>
        </w:rPr>
        <w:t>, тел. (391)223-53-15, 223-53-14</w:t>
      </w:r>
    </w:p>
    <w:p w:rsidR="00380B1B" w:rsidRPr="00FD30CD" w:rsidRDefault="00380B1B" w:rsidP="007F0D05">
      <w:pPr>
        <w:pStyle w:val="a5"/>
        <w:rPr>
          <w:rStyle w:val="Subst"/>
          <w:b w:val="0"/>
          <w:bCs/>
          <w:i w:val="0"/>
          <w:iCs/>
          <w:color w:val="000000" w:themeColor="text1"/>
        </w:rPr>
      </w:pPr>
      <w:r w:rsidRPr="00FD30CD">
        <w:rPr>
          <w:rStyle w:val="Subst"/>
          <w:b w:val="0"/>
          <w:bCs/>
          <w:i w:val="0"/>
          <w:iCs/>
          <w:color w:val="000000" w:themeColor="text1"/>
        </w:rPr>
        <w:t>Э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 xml:space="preserve">митент </w:t>
      </w:r>
      <w:r w:rsidRPr="00FD30CD">
        <w:rPr>
          <w:rStyle w:val="Subst"/>
          <w:b w:val="0"/>
          <w:bCs/>
          <w:i w:val="0"/>
          <w:iCs/>
          <w:color w:val="000000" w:themeColor="text1"/>
        </w:rPr>
        <w:t xml:space="preserve">был 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>создан на неопределенный срок.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br/>
        <w:t xml:space="preserve">Цели создания эмитента, миссия эмитента (при наличии), и иная информация о деятельности эмитента, имеющая значение для принятия решения о приобретении ценных бумаг эмитента: </w:t>
      </w:r>
    </w:p>
    <w:p w:rsidR="009D1CA5" w:rsidRPr="00FD30CD" w:rsidRDefault="009D1CA5" w:rsidP="007F0D05">
      <w:pPr>
        <w:pStyle w:val="a5"/>
        <w:rPr>
          <w:rStyle w:val="Subst"/>
          <w:b w:val="0"/>
          <w:bCs/>
          <w:i w:val="0"/>
          <w:iCs/>
          <w:color w:val="000000" w:themeColor="text1"/>
        </w:rPr>
      </w:pPr>
      <w:r w:rsidRPr="00FD30CD">
        <w:rPr>
          <w:rStyle w:val="Subst"/>
          <w:b w:val="0"/>
          <w:bCs/>
          <w:i w:val="0"/>
          <w:iCs/>
          <w:color w:val="000000" w:themeColor="text1"/>
        </w:rPr>
        <w:t xml:space="preserve">  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 xml:space="preserve">Основная цель создания </w:t>
      </w:r>
      <w:r w:rsidR="00B463EB" w:rsidRPr="00FD30CD">
        <w:rPr>
          <w:rStyle w:val="Subst"/>
          <w:b w:val="0"/>
          <w:bCs/>
          <w:i w:val="0"/>
          <w:iCs/>
          <w:color w:val="000000" w:themeColor="text1"/>
        </w:rPr>
        <w:t xml:space="preserve">эмитента 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 xml:space="preserve">- аккумулировать приватизационные чеки и денежные средства граждан и  вложить их в акции ведущих Российских предприятий, а также другие ценные бумаги,  с целью получения прибыли. </w:t>
      </w:r>
    </w:p>
    <w:p w:rsidR="00633134" w:rsidRPr="00FD30CD" w:rsidRDefault="009D1CA5" w:rsidP="007F0D05">
      <w:pPr>
        <w:pStyle w:val="a5"/>
        <w:rPr>
          <w:rFonts w:eastAsiaTheme="minorEastAsia"/>
          <w:color w:val="000000" w:themeColor="text1"/>
          <w:sz w:val="20"/>
          <w:szCs w:val="20"/>
        </w:rPr>
      </w:pPr>
      <w:r w:rsidRPr="00FD30CD">
        <w:rPr>
          <w:rStyle w:val="Subst"/>
          <w:b w:val="0"/>
          <w:bCs/>
          <w:i w:val="0"/>
          <w:iCs/>
          <w:color w:val="000000" w:themeColor="text1"/>
        </w:rPr>
        <w:t xml:space="preserve">  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>Основной вид деятельности -  рын</w:t>
      </w:r>
      <w:r w:rsidR="00B463EB" w:rsidRPr="00FD30CD">
        <w:rPr>
          <w:rStyle w:val="Subst"/>
          <w:b w:val="0"/>
          <w:bCs/>
          <w:i w:val="0"/>
          <w:iCs/>
          <w:color w:val="000000" w:themeColor="text1"/>
        </w:rPr>
        <w:t>о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>к</w:t>
      </w:r>
      <w:r w:rsidR="00B463EB" w:rsidRPr="00FD30CD">
        <w:rPr>
          <w:rStyle w:val="Subst"/>
          <w:b w:val="0"/>
          <w:bCs/>
          <w:i w:val="0"/>
          <w:iCs/>
          <w:color w:val="000000" w:themeColor="text1"/>
        </w:rPr>
        <w:t xml:space="preserve"> 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 xml:space="preserve"> ценных бумаг.</w:t>
      </w:r>
    </w:p>
    <w:p w:rsidR="00380B1B" w:rsidRPr="00FD30CD" w:rsidRDefault="00633134" w:rsidP="007F0D05">
      <w:pPr>
        <w:pStyle w:val="a5"/>
        <w:rPr>
          <w:rFonts w:eastAsiaTheme="minorEastAsia"/>
          <w:bCs/>
          <w:iCs/>
          <w:color w:val="000000" w:themeColor="text1"/>
        </w:rPr>
      </w:pPr>
      <w:r w:rsidRPr="00FD30CD">
        <w:rPr>
          <w:rFonts w:eastAsiaTheme="minorEastAsia"/>
          <w:bCs/>
          <w:iCs/>
          <w:color w:val="000000" w:themeColor="text1"/>
        </w:rPr>
        <w:lastRenderedPageBreak/>
        <w:t>Чековый инвестиционный фонд "Ковчег"</w:t>
      </w:r>
      <w:r w:rsidR="00CC06FA"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bCs/>
          <w:iCs/>
          <w:color w:val="000000" w:themeColor="text1"/>
        </w:rPr>
        <w:t>был создан в конце  1992 года</w:t>
      </w:r>
    </w:p>
    <w:p w:rsidR="005929CF" w:rsidRPr="00FD30CD" w:rsidRDefault="00633134" w:rsidP="007F0D05">
      <w:pPr>
        <w:pStyle w:val="a5"/>
        <w:rPr>
          <w:rFonts w:eastAsiaTheme="minorEastAsia"/>
          <w:color w:val="000000" w:themeColor="text1"/>
          <w:sz w:val="20"/>
          <w:szCs w:val="20"/>
        </w:rPr>
      </w:pPr>
      <w:r w:rsidRPr="00FD30CD">
        <w:rPr>
          <w:rFonts w:eastAsiaTheme="minorEastAsia"/>
          <w:bCs/>
          <w:iCs/>
          <w:color w:val="000000" w:themeColor="text1"/>
        </w:rPr>
        <w:t>Дата государственной регистрации 6 ноября 1992</w:t>
      </w:r>
      <w:r w:rsidR="0011392D"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bCs/>
          <w:iCs/>
          <w:color w:val="000000" w:themeColor="text1"/>
        </w:rPr>
        <w:t>года.</w:t>
      </w:r>
      <w:r w:rsidRPr="00FD30CD">
        <w:rPr>
          <w:rFonts w:eastAsiaTheme="minorEastAsia"/>
          <w:bCs/>
          <w:iCs/>
          <w:color w:val="000000" w:themeColor="text1"/>
        </w:rPr>
        <w:br/>
        <w:t>11 декабря 1992 года получена лицензия  № 1, выданная красноярским краевым комитетом по управлению государственным имуществом,  на право работы в качестве инвестиционного института.</w:t>
      </w:r>
      <w:r w:rsidR="0011392D" w:rsidRPr="00FD30CD">
        <w:rPr>
          <w:rFonts w:eastAsiaTheme="minorEastAsia"/>
          <w:bCs/>
          <w:iCs/>
          <w:color w:val="000000" w:themeColor="text1"/>
        </w:rPr>
        <w:t xml:space="preserve"> </w:t>
      </w:r>
      <w:r w:rsidR="005929CF" w:rsidRPr="00FD30CD">
        <w:rPr>
          <w:rStyle w:val="Subst"/>
          <w:b w:val="0"/>
          <w:bCs/>
          <w:i w:val="0"/>
          <w:iCs/>
          <w:color w:val="000000" w:themeColor="text1"/>
        </w:rPr>
        <w:t xml:space="preserve"> Имея лицензию чекового инвестиционного фонда “Фонд Ковчег” принимал активное участие в чековой приватизации еще на этапе зарождения рынка ценных бумаг, обеспечивая себе стабильное будущее и завоевывая известность в среде профессионалов. Стабильно росла  балансовая и чистая прибыль общества, наращивались его активы, причем основная их доля сосредоточена в высоколиквидных  ценных бумагах.</w:t>
      </w:r>
    </w:p>
    <w:p w:rsidR="00CC06FA" w:rsidRPr="00FD30CD" w:rsidRDefault="00633134" w:rsidP="007F0D05">
      <w:pPr>
        <w:pStyle w:val="a5"/>
        <w:rPr>
          <w:rFonts w:eastAsiaTheme="minorEastAsia"/>
          <w:color w:val="000000" w:themeColor="text1"/>
          <w:sz w:val="20"/>
          <w:szCs w:val="20"/>
        </w:rPr>
      </w:pPr>
      <w:r w:rsidRPr="00FD30CD">
        <w:rPr>
          <w:rFonts w:eastAsiaTheme="minorEastAsia"/>
          <w:bCs/>
          <w:iCs/>
          <w:color w:val="000000" w:themeColor="text1"/>
        </w:rPr>
        <w:t xml:space="preserve">В 1996 году, в связи с завершением периода “чековой” приватизации, бывший ЧИФ перерегистрирован </w:t>
      </w:r>
      <w:r w:rsidR="0011392D" w:rsidRPr="00FD30CD">
        <w:rPr>
          <w:rFonts w:eastAsiaTheme="minorEastAsia"/>
          <w:bCs/>
          <w:iCs/>
          <w:color w:val="000000" w:themeColor="text1"/>
        </w:rPr>
        <w:t>в</w:t>
      </w:r>
      <w:r w:rsidR="00CC06FA"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bCs/>
          <w:iCs/>
          <w:color w:val="000000" w:themeColor="text1"/>
        </w:rPr>
        <w:t xml:space="preserve">Открытое акционерное общество “Фонд Ковчег”. </w:t>
      </w:r>
      <w:r w:rsidRPr="00FD30CD">
        <w:rPr>
          <w:rFonts w:eastAsiaTheme="minorEastAsia"/>
          <w:bCs/>
          <w:iCs/>
          <w:color w:val="000000" w:themeColor="text1"/>
        </w:rPr>
        <w:br/>
      </w:r>
      <w:r w:rsidR="00380B1B" w:rsidRPr="00FD30CD">
        <w:rPr>
          <w:rFonts w:eastAsiaTheme="minorEastAsia"/>
          <w:bCs/>
          <w:iCs/>
          <w:color w:val="000000" w:themeColor="text1"/>
        </w:rPr>
        <w:t>Новый статус позволил эмитенту расширить спектр оказываемых услуг и провести диверсификацию своих активов.</w:t>
      </w:r>
      <w:r w:rsidR="00380B1B" w:rsidRPr="00FD30CD">
        <w:rPr>
          <w:rFonts w:eastAsiaTheme="minorEastAsia"/>
          <w:bCs/>
          <w:iCs/>
          <w:color w:val="000000" w:themeColor="text1"/>
        </w:rPr>
        <w:br/>
        <w:t xml:space="preserve">Фонду удалось выйти из финансового кризиса 1998 года, сохранив капитал, сплоченный  коллектив профессионалов и безупречную репутацию. 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 xml:space="preserve">Деятельность общества  за весь период своего существования  можно оценить как достаточно успешную. </w:t>
      </w:r>
    </w:p>
    <w:p w:rsidR="007140E8" w:rsidRPr="00FD30CD" w:rsidRDefault="00775D00" w:rsidP="007F0D05">
      <w:pPr>
        <w:pStyle w:val="a5"/>
        <w:rPr>
          <w:rFonts w:eastAsiaTheme="minorEastAsia"/>
          <w:color w:val="000000" w:themeColor="text1"/>
        </w:rPr>
      </w:pPr>
      <w:r w:rsidRPr="00FD30CD">
        <w:rPr>
          <w:rStyle w:val="Subst"/>
          <w:b w:val="0"/>
          <w:bCs/>
          <w:i w:val="0"/>
          <w:iCs/>
          <w:color w:val="000000" w:themeColor="text1"/>
        </w:rPr>
        <w:t>Деятельность общества регулярно освеща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>лась</w:t>
      </w:r>
      <w:r w:rsidRPr="00FD30CD">
        <w:rPr>
          <w:rStyle w:val="Subst"/>
          <w:b w:val="0"/>
          <w:bCs/>
          <w:i w:val="0"/>
          <w:iCs/>
          <w:color w:val="000000" w:themeColor="text1"/>
        </w:rPr>
        <w:t xml:space="preserve"> в </w:t>
      </w:r>
      <w:r w:rsidR="001D6372" w:rsidRPr="00FD30CD">
        <w:rPr>
          <w:rStyle w:val="Subst"/>
          <w:b w:val="0"/>
          <w:bCs/>
          <w:i w:val="0"/>
          <w:iCs/>
          <w:color w:val="000000" w:themeColor="text1"/>
        </w:rPr>
        <w:t>краевой газете «Красноярский рабочий</w:t>
      </w:r>
      <w:r w:rsidRPr="00FD30CD">
        <w:rPr>
          <w:rStyle w:val="Subst"/>
          <w:b w:val="0"/>
          <w:bCs/>
          <w:iCs/>
          <w:color w:val="000000" w:themeColor="text1"/>
        </w:rPr>
        <w:t>».</w:t>
      </w:r>
      <w:r w:rsidRPr="00FD30CD">
        <w:rPr>
          <w:rStyle w:val="Subst"/>
          <w:b w:val="0"/>
          <w:bCs/>
          <w:iCs/>
          <w:color w:val="000000" w:themeColor="text1"/>
        </w:rPr>
        <w:br/>
      </w:r>
      <w:r w:rsidR="00633134" w:rsidRPr="00FD30CD">
        <w:rPr>
          <w:rFonts w:eastAsiaTheme="minorEastAsia"/>
          <w:color w:val="000000" w:themeColor="text1"/>
        </w:rPr>
        <w:t>Публичное акционерное общество "Фонд Ковчег"</w:t>
      </w:r>
      <w:r w:rsidR="000E3C24" w:rsidRPr="00FD30CD">
        <w:rPr>
          <w:rFonts w:eastAsiaTheme="minorEastAsia"/>
          <w:color w:val="000000" w:themeColor="text1"/>
        </w:rPr>
        <w:t>.</w:t>
      </w:r>
      <w:r w:rsidR="007140E8" w:rsidRPr="00FD30CD">
        <w:rPr>
          <w:rFonts w:eastAsiaTheme="minorEastAsia"/>
          <w:color w:val="000000" w:themeColor="text1"/>
        </w:rPr>
        <w:t xml:space="preserve"> </w:t>
      </w:r>
    </w:p>
    <w:p w:rsidR="007140E8" w:rsidRPr="00FD30CD" w:rsidRDefault="00633134" w:rsidP="007F0D05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11.06.2015</w:t>
      </w:r>
      <w:r w:rsidR="00562BD6" w:rsidRPr="00FD30CD">
        <w:rPr>
          <w:rFonts w:eastAsiaTheme="minorEastAsia"/>
          <w:color w:val="000000" w:themeColor="text1"/>
        </w:rPr>
        <w:t xml:space="preserve"> года МИФНС №23 по Красноярскому краю внесена запись в единый государственный реестр юридических лиц:</w:t>
      </w:r>
    </w:p>
    <w:p w:rsidR="00562BD6" w:rsidRPr="00FD30CD" w:rsidRDefault="00562BD6" w:rsidP="00562BD6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Утверждение новой редакции Устава публичного акционерного Общества (ПАО) "Фонд Ковчег" было проведено,  в связи с приведением учредительных документов в соответствие с нормами глав ГК РФ в редакции Федерального закона №99-ФЗот 05.05.2014 г. и ФЗ от 26.12.1995 г. №208-ФЗ "Об акционерных обществах" в редакции ФЗ от 22.12.2014 г. №432-ФЗ.</w:t>
      </w:r>
    </w:p>
    <w:p w:rsidR="00562BD6" w:rsidRPr="00FD30CD" w:rsidRDefault="00633134" w:rsidP="007140E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Основание введения наименования:</w:t>
      </w:r>
      <w:r w:rsidRPr="00FD30CD">
        <w:rPr>
          <w:rFonts w:eastAsiaTheme="minorEastAsia"/>
          <w:color w:val="000000" w:themeColor="text1"/>
        </w:rPr>
        <w:br/>
      </w:r>
      <w:r w:rsidR="0011392D" w:rsidRPr="00FD30CD">
        <w:rPr>
          <w:rFonts w:eastAsiaTheme="minorEastAsia"/>
          <w:color w:val="000000" w:themeColor="text1"/>
        </w:rPr>
        <w:t xml:space="preserve">   </w:t>
      </w:r>
      <w:r w:rsidRPr="00FD30CD">
        <w:rPr>
          <w:rFonts w:eastAsiaTheme="minorEastAsia"/>
          <w:color w:val="000000" w:themeColor="text1"/>
        </w:rPr>
        <w:t>Настоящий Устав является единственным учредительным документом, имеющим прямое действие в отно</w:t>
      </w:r>
      <w:r w:rsidR="00CC06FA" w:rsidRPr="00FD30CD">
        <w:rPr>
          <w:rFonts w:eastAsiaTheme="minorEastAsia"/>
          <w:color w:val="000000" w:themeColor="text1"/>
        </w:rPr>
        <w:t>ш</w:t>
      </w:r>
      <w:r w:rsidRPr="00FD30CD">
        <w:rPr>
          <w:rFonts w:eastAsiaTheme="minorEastAsia"/>
          <w:color w:val="000000" w:themeColor="text1"/>
        </w:rPr>
        <w:t>ении деятельности, осуществляемой Обществом.</w:t>
      </w:r>
      <w:r w:rsidRPr="00FD30CD">
        <w:rPr>
          <w:rFonts w:eastAsiaTheme="minorEastAsia"/>
          <w:color w:val="000000" w:themeColor="text1"/>
        </w:rPr>
        <w:br/>
      </w:r>
      <w:r w:rsidR="0011392D" w:rsidRPr="00FD30CD">
        <w:rPr>
          <w:rFonts w:eastAsiaTheme="minorEastAsia"/>
          <w:color w:val="000000" w:themeColor="text1"/>
        </w:rPr>
        <w:t xml:space="preserve">      </w:t>
      </w:r>
      <w:r w:rsidRPr="00FD30CD">
        <w:rPr>
          <w:rFonts w:eastAsiaTheme="minorEastAsia"/>
          <w:color w:val="000000" w:themeColor="text1"/>
        </w:rPr>
        <w:t>Место нахождения эмитента</w:t>
      </w:r>
      <w:r w:rsidR="00562BD6" w:rsidRPr="00FD30CD">
        <w:rPr>
          <w:rFonts w:eastAsiaTheme="minorEastAsia"/>
          <w:color w:val="000000" w:themeColor="text1"/>
        </w:rPr>
        <w:t xml:space="preserve"> в соответствии с уставом</w:t>
      </w:r>
      <w:r w:rsidR="0011392D" w:rsidRPr="00FD30CD">
        <w:rPr>
          <w:rFonts w:eastAsiaTheme="minorEastAsia"/>
          <w:color w:val="000000" w:themeColor="text1"/>
        </w:rPr>
        <w:t>:</w:t>
      </w:r>
      <w:r w:rsidR="00562BD6" w:rsidRPr="00FD30CD">
        <w:rPr>
          <w:rFonts w:eastAsiaTheme="minorEastAsia"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Р</w:t>
      </w:r>
      <w:r w:rsidR="00562BD6" w:rsidRPr="00FD30CD">
        <w:rPr>
          <w:rFonts w:eastAsiaTheme="minorEastAsia"/>
          <w:color w:val="000000" w:themeColor="text1"/>
        </w:rPr>
        <w:t>Ф</w:t>
      </w:r>
      <w:r w:rsidRPr="00FD30CD">
        <w:rPr>
          <w:rFonts w:eastAsiaTheme="minorEastAsia"/>
          <w:color w:val="000000" w:themeColor="text1"/>
        </w:rPr>
        <w:t>, г. Красноярск</w:t>
      </w:r>
    </w:p>
    <w:p w:rsidR="00633134" w:rsidRPr="00FD30CD" w:rsidRDefault="0011392D" w:rsidP="007140E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А</w:t>
      </w:r>
      <w:r w:rsidR="00633134" w:rsidRPr="00FD30CD">
        <w:rPr>
          <w:rFonts w:eastAsiaTheme="minorEastAsia"/>
          <w:color w:val="000000" w:themeColor="text1"/>
        </w:rPr>
        <w:t>дрес эмитента, указанный в едином государственном реестре юридических лиц</w:t>
      </w:r>
      <w:r w:rsidRPr="00FD30CD">
        <w:rPr>
          <w:rFonts w:eastAsiaTheme="minorEastAsia"/>
          <w:color w:val="000000" w:themeColor="text1"/>
        </w:rPr>
        <w:t>:</w:t>
      </w:r>
    </w:p>
    <w:p w:rsidR="00633134" w:rsidRPr="00FD30CD" w:rsidRDefault="00633134" w:rsidP="007140E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660099</w:t>
      </w:r>
      <w:r w:rsidR="00562BD6" w:rsidRPr="00FD30CD">
        <w:rPr>
          <w:rFonts w:eastAsiaTheme="minorEastAsia"/>
          <w:color w:val="000000" w:themeColor="text1"/>
        </w:rPr>
        <w:t>,</w:t>
      </w:r>
      <w:r w:rsidRPr="00FD30CD">
        <w:rPr>
          <w:rFonts w:eastAsiaTheme="minorEastAsia"/>
          <w:color w:val="000000" w:themeColor="text1"/>
        </w:rPr>
        <w:t xml:space="preserve"> </w:t>
      </w:r>
      <w:r w:rsidR="00562BD6" w:rsidRPr="00FD30CD">
        <w:rPr>
          <w:rFonts w:eastAsiaTheme="minorEastAsia"/>
          <w:color w:val="000000" w:themeColor="text1"/>
        </w:rPr>
        <w:t>Красноярский край</w:t>
      </w:r>
      <w:r w:rsidRPr="00FD30CD">
        <w:rPr>
          <w:rFonts w:eastAsiaTheme="minorEastAsia"/>
          <w:color w:val="000000" w:themeColor="text1"/>
        </w:rPr>
        <w:t>, г. Красноярск, Железнодорожников 20 "Г" оф. 193</w:t>
      </w:r>
    </w:p>
    <w:p w:rsidR="00633134" w:rsidRPr="00FD30CD" w:rsidRDefault="0011392D" w:rsidP="007140E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633134" w:rsidRPr="00FD30CD">
        <w:rPr>
          <w:rFonts w:eastAsiaTheme="minorEastAsia"/>
          <w:color w:val="000000" w:themeColor="text1"/>
        </w:rPr>
        <w:t>Телефон: (391)221-77-45</w:t>
      </w:r>
      <w:r w:rsidR="005C69C0" w:rsidRPr="00FD30CD">
        <w:rPr>
          <w:rFonts w:eastAsiaTheme="minorEastAsia"/>
          <w:color w:val="000000" w:themeColor="text1"/>
        </w:rPr>
        <w:t xml:space="preserve"> </w:t>
      </w:r>
      <w:r w:rsidR="005217F7" w:rsidRPr="00FD30CD">
        <w:rPr>
          <w:rFonts w:eastAsiaTheme="minorEastAsia"/>
          <w:color w:val="000000" w:themeColor="text1"/>
        </w:rPr>
        <w:t>,ф</w:t>
      </w:r>
      <w:r w:rsidR="00633134" w:rsidRPr="00FD30CD">
        <w:rPr>
          <w:rFonts w:eastAsiaTheme="minorEastAsia"/>
          <w:color w:val="000000" w:themeColor="text1"/>
        </w:rPr>
        <w:t>акс: (391)221-62-66</w:t>
      </w:r>
      <w:r w:rsidR="005217F7" w:rsidRPr="00FD30CD">
        <w:rPr>
          <w:rFonts w:eastAsiaTheme="minorEastAsia"/>
          <w:color w:val="000000" w:themeColor="text1"/>
        </w:rPr>
        <w:t>,</w:t>
      </w:r>
      <w:r w:rsidR="005C69C0" w:rsidRPr="00FD30CD">
        <w:rPr>
          <w:rFonts w:eastAsiaTheme="minorEastAsia"/>
          <w:color w:val="000000" w:themeColor="text1"/>
        </w:rPr>
        <w:t xml:space="preserve"> </w:t>
      </w:r>
      <w:r w:rsidR="005217F7" w:rsidRPr="00FD30CD">
        <w:rPr>
          <w:rFonts w:eastAsiaTheme="minorEastAsia"/>
          <w:color w:val="000000" w:themeColor="text1"/>
        </w:rPr>
        <w:t>а</w:t>
      </w:r>
      <w:r w:rsidR="00633134" w:rsidRPr="00FD30CD">
        <w:rPr>
          <w:rFonts w:eastAsiaTheme="minorEastAsia"/>
          <w:color w:val="000000" w:themeColor="text1"/>
        </w:rPr>
        <w:t>дрес электронной почты: kovcheg@factor.ru</w:t>
      </w:r>
    </w:p>
    <w:p w:rsidR="003B76E1" w:rsidRPr="00FD30CD" w:rsidRDefault="0011392D" w:rsidP="007140E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633134" w:rsidRPr="00FD30CD">
        <w:rPr>
          <w:rFonts w:eastAsiaTheme="minorEastAsia"/>
          <w:color w:val="000000" w:themeColor="text1"/>
        </w:rPr>
        <w:t xml:space="preserve">Адрес страницы в сети Интернет, на которой (на которых) доступна информация об эмитенте, выпущенных и/или выпускаемых им ценных бумагах: </w:t>
      </w:r>
    </w:p>
    <w:p w:rsidR="00633134" w:rsidRPr="00FD30CD" w:rsidRDefault="00633134" w:rsidP="007140E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www.e-iscloure.ru/</w:t>
      </w:r>
      <w:proofErr w:type="spellStart"/>
      <w:r w:rsidRPr="00FD30CD">
        <w:rPr>
          <w:rFonts w:eastAsiaTheme="minorEastAsia"/>
          <w:color w:val="000000" w:themeColor="text1"/>
        </w:rPr>
        <w:t>portal</w:t>
      </w:r>
      <w:proofErr w:type="spellEnd"/>
      <w:r w:rsidRPr="00FD30CD">
        <w:rPr>
          <w:rFonts w:eastAsiaTheme="minorEastAsia"/>
          <w:color w:val="000000" w:themeColor="text1"/>
        </w:rPr>
        <w:t>/</w:t>
      </w:r>
      <w:proofErr w:type="spellStart"/>
      <w:r w:rsidRPr="00FD30CD">
        <w:rPr>
          <w:rFonts w:eastAsiaTheme="minorEastAsia"/>
          <w:color w:val="000000" w:themeColor="text1"/>
        </w:rPr>
        <w:t>company.aspx?id</w:t>
      </w:r>
      <w:proofErr w:type="spellEnd"/>
      <w:r w:rsidRPr="00FD30CD">
        <w:rPr>
          <w:rFonts w:eastAsiaTheme="minorEastAsia"/>
          <w:color w:val="000000" w:themeColor="text1"/>
        </w:rPr>
        <w:t>=23832, www.factor.ru</w:t>
      </w:r>
    </w:p>
    <w:p w:rsidR="00CE2DEA" w:rsidRPr="00FD30CD" w:rsidRDefault="0011392D" w:rsidP="00CE2DEA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633134" w:rsidRPr="00FD30CD">
        <w:rPr>
          <w:rFonts w:eastAsiaTheme="minorEastAsia"/>
          <w:color w:val="000000" w:themeColor="text1"/>
        </w:rPr>
        <w:t>Эмитент не имеет специального подразделения по работе с акционерами и инвесторами эмитента</w:t>
      </w:r>
      <w:bookmarkStart w:id="2" w:name="_Toc15545831"/>
      <w:r w:rsidRPr="00FD30CD">
        <w:rPr>
          <w:rFonts w:eastAsiaTheme="minorEastAsia"/>
          <w:color w:val="000000" w:themeColor="text1"/>
        </w:rPr>
        <w:t>.</w:t>
      </w:r>
    </w:p>
    <w:bookmarkEnd w:id="2"/>
    <w:p w:rsidR="00CE2DEA" w:rsidRPr="00FD30CD" w:rsidRDefault="00CE2DEA" w:rsidP="002606DC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Эмитент не имеет филиалов и представительств</w:t>
      </w:r>
      <w:r w:rsidR="00360551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7647D7" w:rsidRPr="00FD30CD" w:rsidRDefault="002606DC" w:rsidP="002606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ПАО «Фонд Ковчег» осуществляет свою деятельность на организованном  рынке ценных бумаг </w:t>
      </w:r>
      <w:r w:rsidR="007647D7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375EE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647D7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606DC" w:rsidRPr="00FD30CD" w:rsidRDefault="002606DC" w:rsidP="002606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Основными конкурентами </w:t>
      </w:r>
      <w:r w:rsidR="003A2363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отчетный квартал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являются: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ПАО «СИФП «</w:t>
      </w: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Главный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(ИНН 2466020655) и ООО «Инвестор» (ИНН 2453017616).</w:t>
      </w:r>
    </w:p>
    <w:p w:rsidR="002606DC" w:rsidRPr="00FD30CD" w:rsidRDefault="002606DC" w:rsidP="002606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Объём продаж за 2019 год составил 26 070 тыс. руб.</w:t>
      </w:r>
    </w:p>
    <w:p w:rsidR="002606DC" w:rsidRPr="00FD30CD" w:rsidRDefault="00A718A8" w:rsidP="002606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рынки, на которых эмитент осуществляет свою деятельность:</w:t>
      </w:r>
      <w:r w:rsidRPr="00FD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t xml:space="preserve">вложения в ценные бумаги, деятельность через биржевых посредников и биржевых </w:t>
      </w:r>
      <w:proofErr w:type="gramStart"/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t>брокеров</w:t>
      </w:r>
      <w:proofErr w:type="gramEnd"/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t xml:space="preserve">  совершающих операционные сделки в биржевой торговле. </w:t>
      </w:r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br/>
        <w:t xml:space="preserve">Подавляющая часть операций в отчетный период  проводилась на основных российских биржах, таких как биржевая </w:t>
      </w:r>
      <w:proofErr w:type="gramStart"/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t>площадка</w:t>
      </w:r>
      <w:proofErr w:type="gramEnd"/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t xml:space="preserve">  Группа "Московская Биржа."</w:t>
      </w:r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br/>
      </w:r>
      <w:r w:rsidR="002606DC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Производительность у общества – отсутствует.</w:t>
      </w:r>
    </w:p>
    <w:p w:rsidR="002606DC" w:rsidRPr="00FD30CD" w:rsidRDefault="002606DC" w:rsidP="002606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Контролируемая доля рынка: общество не имеет определённой контролируемой доли на фондовом рынке.</w:t>
      </w:r>
    </w:p>
    <w:p w:rsidR="001779BC" w:rsidRPr="00FD30CD" w:rsidRDefault="00295F23" w:rsidP="00295F2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Arial Narrow" w:hAnsi="Arial Narrow" w:cs="Arial Narrow"/>
          <w:b/>
          <w:bCs/>
          <w:color w:val="000000" w:themeColor="text1"/>
          <w:sz w:val="40"/>
          <w:szCs w:val="40"/>
        </w:rPr>
      </w:pPr>
      <w:r w:rsidRPr="00FD30CD">
        <w:rPr>
          <w:rFonts w:ascii="Arial Narrow" w:hAnsi="Arial Narrow" w:cs="Arial Narrow"/>
          <w:b/>
          <w:bCs/>
          <w:color w:val="000000" w:themeColor="text1"/>
          <w:sz w:val="40"/>
          <w:szCs w:val="40"/>
        </w:rPr>
        <w:lastRenderedPageBreak/>
        <w:t xml:space="preserve">   </w:t>
      </w:r>
    </w:p>
    <w:p w:rsidR="00295F23" w:rsidRDefault="001779BC" w:rsidP="008901E1">
      <w:pPr>
        <w:autoSpaceDE w:val="0"/>
        <w:autoSpaceDN w:val="0"/>
        <w:adjustRightInd w:val="0"/>
        <w:spacing w:before="320"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295F23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показатели бухгалтерской (финансовой) отчетности </w:t>
      </w:r>
      <w:r w:rsidR="008901E1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95F23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общества</w:t>
      </w:r>
      <w:r w:rsidR="00295F23" w:rsidRPr="00FD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CB3651" w:rsidRDefault="00CB3651" w:rsidP="00CB3651">
      <w:pPr>
        <w:pStyle w:val="a5"/>
      </w:pPr>
      <w:r w:rsidRPr="00CB3651">
        <w:t>Аудиторское заключение</w:t>
      </w:r>
      <w:r>
        <w:t xml:space="preserve"> </w:t>
      </w:r>
      <w:r w:rsidRPr="00CB3651">
        <w:t>Годовой бухгалтерской (финансовой</w:t>
      </w:r>
      <w:r>
        <w:t>)</w:t>
      </w:r>
      <w:r w:rsidRPr="00CB3651">
        <w:t xml:space="preserve"> отчетности проведено в </w:t>
      </w:r>
      <w:r>
        <w:t>соответствии с Международными стандартами аудита, отражает достоверно во всех аспектах финансовое положение Общества по состоянию на 31 декабря 2019 года, финансовые результаты ее деятельности и движение денежных средств за  2019 год в соответствии с правилами составления бухгалтерской отчетности, установленными в Российской Федерации.</w:t>
      </w:r>
    </w:p>
    <w:p w:rsidR="00CB3651" w:rsidRPr="008B472B" w:rsidRDefault="00CB3651" w:rsidP="00CB3651">
      <w:pPr>
        <w:pStyle w:val="a5"/>
        <w:rPr>
          <w:color w:val="000000" w:themeColor="text1"/>
        </w:rPr>
      </w:pPr>
      <w:proofErr w:type="gramStart"/>
      <w:r>
        <w:t xml:space="preserve">Независимым аудитом выступила компания </w:t>
      </w:r>
      <w:r w:rsidRPr="00FD30CD">
        <w:rPr>
          <w:color w:val="000000" w:themeColor="text1"/>
        </w:rPr>
        <w:t>Общество с ограниченной ответственностью «Траст-Аудит» (ОГРН 1142468067444, ИНН/КПП 2466278478/246601001, место нахождения: 660060, г. Красноярск, ул. Кирова дом 43, офис 303, генеральный директор -  Лукина Ирина Александровна, член саморегулируемой организации аудиторов:</w:t>
      </w:r>
      <w:proofErr w:type="gramEnd"/>
      <w:r w:rsidRPr="00FD30CD">
        <w:rPr>
          <w:color w:val="000000" w:themeColor="text1"/>
        </w:rPr>
        <w:t xml:space="preserve"> Ассоциация «Содружество» (СРО </w:t>
      </w:r>
      <w:proofErr w:type="gramStart"/>
      <w:r w:rsidRPr="00FD30CD">
        <w:rPr>
          <w:color w:val="000000" w:themeColor="text1"/>
        </w:rPr>
        <w:t>АСС</w:t>
      </w:r>
      <w:proofErr w:type="gramEnd"/>
      <w:r w:rsidRPr="00FD30CD">
        <w:rPr>
          <w:color w:val="000000" w:themeColor="text1"/>
        </w:rPr>
        <w:t>) 14 декабря 2016 года за основным регистрационным номером: 11606072951</w:t>
      </w:r>
      <w:r w:rsidRPr="008B472B">
        <w:rPr>
          <w:color w:val="000000" w:themeColor="text1"/>
        </w:rPr>
        <w:t xml:space="preserve">, </w:t>
      </w:r>
      <w:r w:rsidRPr="008B472B">
        <w:rPr>
          <w:color w:val="000000" w:themeColor="text1"/>
          <w:lang w:val="en-US"/>
        </w:rPr>
        <w:t>E</w:t>
      </w:r>
      <w:r w:rsidRPr="008B472B">
        <w:rPr>
          <w:color w:val="000000" w:themeColor="text1"/>
        </w:rPr>
        <w:t>-</w:t>
      </w:r>
      <w:r w:rsidRPr="008B472B">
        <w:rPr>
          <w:color w:val="000000" w:themeColor="text1"/>
          <w:lang w:val="en-US"/>
        </w:rPr>
        <w:t>mail</w:t>
      </w:r>
      <w:r w:rsidRPr="008B472B">
        <w:rPr>
          <w:color w:val="000000" w:themeColor="text1"/>
        </w:rPr>
        <w:t xml:space="preserve">: </w:t>
      </w:r>
      <w:hyperlink r:id="rId10" w:history="1">
        <w:r w:rsidRPr="008B472B">
          <w:rPr>
            <w:color w:val="000000" w:themeColor="text1"/>
            <w:u w:val="single"/>
            <w:lang w:val="en-US"/>
          </w:rPr>
          <w:t>maxxwell</w:t>
        </w:r>
        <w:r w:rsidRPr="008B472B">
          <w:rPr>
            <w:color w:val="000000" w:themeColor="text1"/>
            <w:u w:val="single"/>
          </w:rPr>
          <w:t>@</w:t>
        </w:r>
        <w:r w:rsidRPr="008B472B">
          <w:rPr>
            <w:color w:val="000000" w:themeColor="text1"/>
            <w:u w:val="single"/>
            <w:lang w:val="en-US"/>
          </w:rPr>
          <w:t>list</w:t>
        </w:r>
        <w:r w:rsidRPr="008B472B">
          <w:rPr>
            <w:color w:val="000000" w:themeColor="text1"/>
            <w:u w:val="single"/>
          </w:rPr>
          <w:t>.</w:t>
        </w:r>
        <w:proofErr w:type="spellStart"/>
        <w:r w:rsidRPr="008B472B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Pr="008B472B">
        <w:rPr>
          <w:color w:val="000000" w:themeColor="text1"/>
        </w:rPr>
        <w:t>, тел. (391)223-53-15, 223-53-14</w:t>
      </w:r>
    </w:p>
    <w:p w:rsidR="00F661ED" w:rsidRDefault="00F32785" w:rsidP="00F32785">
      <w:pPr>
        <w:pStyle w:val="a5"/>
      </w:pPr>
      <w:r>
        <w:t>Аудиторское заключение опубликовано</w:t>
      </w:r>
      <w:r w:rsidR="00E54B96">
        <w:t xml:space="preserve"> и доступно</w:t>
      </w:r>
    </w:p>
    <w:p w:rsidR="00F32785" w:rsidRPr="00FD30CD" w:rsidRDefault="00F661ED" w:rsidP="00F32785">
      <w:pPr>
        <w:pStyle w:val="a5"/>
        <w:rPr>
          <w:rFonts w:eastAsiaTheme="minorEastAsia"/>
          <w:color w:val="000000" w:themeColor="text1"/>
        </w:rPr>
      </w:pPr>
      <w:r>
        <w:t>-</w:t>
      </w:r>
      <w:r w:rsidR="00F32785">
        <w:t>на сайте общества;</w:t>
      </w:r>
      <w:r w:rsidR="00F32785" w:rsidRPr="00FD30CD">
        <w:rPr>
          <w:rFonts w:eastAsiaTheme="minorEastAsia"/>
          <w:color w:val="000000" w:themeColor="text1"/>
        </w:rPr>
        <w:t xml:space="preserve"> www.factor.ru</w:t>
      </w:r>
    </w:p>
    <w:p w:rsidR="00CB3651" w:rsidRDefault="00F661ED" w:rsidP="00CB3651">
      <w:pPr>
        <w:pStyle w:val="a5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-н</w:t>
      </w:r>
      <w:r w:rsidR="00F32785">
        <w:rPr>
          <w:rFonts w:eastAsiaTheme="minorEastAsia"/>
          <w:color w:val="000000" w:themeColor="text1"/>
        </w:rPr>
        <w:t xml:space="preserve">а </w:t>
      </w:r>
      <w:r w:rsidR="00F32785" w:rsidRPr="00FD30CD">
        <w:rPr>
          <w:rFonts w:eastAsiaTheme="minorEastAsia"/>
          <w:color w:val="000000" w:themeColor="text1"/>
        </w:rPr>
        <w:t>страниц</w:t>
      </w:r>
      <w:r w:rsidR="00F32785">
        <w:rPr>
          <w:rFonts w:eastAsiaTheme="minorEastAsia"/>
          <w:color w:val="000000" w:themeColor="text1"/>
        </w:rPr>
        <w:t>е</w:t>
      </w:r>
      <w:r w:rsidR="00F32785" w:rsidRPr="00FD30CD">
        <w:rPr>
          <w:rFonts w:eastAsiaTheme="minorEastAsia"/>
          <w:color w:val="000000" w:themeColor="text1"/>
        </w:rPr>
        <w:t xml:space="preserve"> в сети Интернет </w:t>
      </w:r>
      <w:hyperlink r:id="rId11" w:history="1">
        <w:r w:rsidRPr="00F73E16">
          <w:rPr>
            <w:rStyle w:val="a6"/>
            <w:rFonts w:eastAsiaTheme="minorEastAsia"/>
          </w:rPr>
          <w:t>www.e-iscloure.ru/portal/company.aspx?id=23832</w:t>
        </w:r>
      </w:hyperlink>
    </w:p>
    <w:p w:rsidR="00295F23" w:rsidRPr="00FD30CD" w:rsidRDefault="008B24C1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</w:t>
      </w:r>
      <w:r w:rsidR="00CF0146" w:rsidRPr="00FD30CD">
        <w:rPr>
          <w:color w:val="000000" w:themeColor="text1"/>
          <w:sz w:val="22"/>
          <w:szCs w:val="22"/>
        </w:rPr>
        <w:t>«</w:t>
      </w:r>
      <w:r w:rsidR="00295F23" w:rsidRPr="00FD30CD">
        <w:rPr>
          <w:color w:val="000000" w:themeColor="text1"/>
          <w:sz w:val="22"/>
          <w:szCs w:val="22"/>
        </w:rPr>
        <w:t>Бухгалтерский баланс</w:t>
      </w:r>
      <w:r w:rsidR="00CF0146" w:rsidRPr="00FD30CD">
        <w:rPr>
          <w:color w:val="000000" w:themeColor="text1"/>
          <w:sz w:val="22"/>
          <w:szCs w:val="22"/>
        </w:rPr>
        <w:t>»</w:t>
      </w:r>
      <w:r w:rsidR="00295F23" w:rsidRPr="00FD30CD">
        <w:rPr>
          <w:color w:val="000000" w:themeColor="text1"/>
          <w:sz w:val="22"/>
          <w:szCs w:val="22"/>
        </w:rPr>
        <w:t xml:space="preserve"> (</w:t>
      </w:r>
      <w:proofErr w:type="spellStart"/>
      <w:r w:rsidR="00295F23" w:rsidRPr="00FD30CD">
        <w:rPr>
          <w:color w:val="000000" w:themeColor="text1"/>
          <w:sz w:val="22"/>
          <w:szCs w:val="22"/>
        </w:rPr>
        <w:t>тыс</w:t>
      </w:r>
      <w:proofErr w:type="gramStart"/>
      <w:r w:rsidR="00295F23" w:rsidRPr="00FD30CD">
        <w:rPr>
          <w:color w:val="000000" w:themeColor="text1"/>
          <w:sz w:val="22"/>
          <w:szCs w:val="22"/>
        </w:rPr>
        <w:t>.р</w:t>
      </w:r>
      <w:proofErr w:type="gramEnd"/>
      <w:r w:rsidR="00295F23" w:rsidRPr="00FD30CD">
        <w:rPr>
          <w:color w:val="000000" w:themeColor="text1"/>
          <w:sz w:val="22"/>
          <w:szCs w:val="22"/>
        </w:rPr>
        <w:t>уб</w:t>
      </w:r>
      <w:proofErr w:type="spellEnd"/>
      <w:r w:rsidR="00295F23" w:rsidRPr="00FD30CD">
        <w:rPr>
          <w:color w:val="000000" w:themeColor="text1"/>
          <w:sz w:val="22"/>
          <w:szCs w:val="22"/>
        </w:rPr>
        <w:t>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1560"/>
        <w:gridCol w:w="1559"/>
        <w:gridCol w:w="1559"/>
      </w:tblGrid>
      <w:tr w:rsidR="005378FF" w:rsidRPr="00FD30CD" w:rsidTr="00612B1B">
        <w:tc>
          <w:tcPr>
            <w:tcW w:w="4395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АКТИВ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1560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31.12.2019г.</w:t>
            </w:r>
          </w:p>
        </w:tc>
        <w:tc>
          <w:tcPr>
            <w:tcW w:w="1559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31.12.2018г.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31.12.2017г.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Основные средства организации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1150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    -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1170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120 817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120 825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121 237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1180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7 671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6 803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6 827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Запасы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1210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1230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36 551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37 917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31 316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1240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58 914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64 863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60 665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Денежные средства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1250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1 143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210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Прочие оборотные активы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1260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13</w:t>
            </w:r>
          </w:p>
        </w:tc>
      </w:tr>
      <w:tr w:rsidR="005378FF" w:rsidRPr="00FD30CD" w:rsidTr="00612B1B">
        <w:tc>
          <w:tcPr>
            <w:tcW w:w="4395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Баланс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1600</w:t>
            </w:r>
          </w:p>
        </w:tc>
        <w:tc>
          <w:tcPr>
            <w:tcW w:w="1560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224 000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231 564</w:t>
            </w:r>
          </w:p>
        </w:tc>
        <w:tc>
          <w:tcPr>
            <w:tcW w:w="1559" w:type="dxa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220 274</w:t>
            </w:r>
          </w:p>
        </w:tc>
      </w:tr>
    </w:tbl>
    <w:p w:rsidR="00295F23" w:rsidRPr="00FD30CD" w:rsidRDefault="00295F23" w:rsidP="00295F23">
      <w:pPr>
        <w:pStyle w:val="a5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1560"/>
        <w:gridCol w:w="1559"/>
        <w:gridCol w:w="1559"/>
      </w:tblGrid>
      <w:tr w:rsidR="005378FF" w:rsidRPr="00FD30CD" w:rsidTr="00612B1B">
        <w:tc>
          <w:tcPr>
            <w:tcW w:w="4395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ПАССИВ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На 31.12.2019г.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На 31.12.2018г.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На 31.12.2017г.</w:t>
            </w:r>
          </w:p>
        </w:tc>
      </w:tr>
      <w:tr w:rsidR="005378FF" w:rsidRPr="00FD30CD" w:rsidTr="00612B1B">
        <w:tc>
          <w:tcPr>
            <w:tcW w:w="4395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Уставный капитал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3 125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3 125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3 125</w:t>
            </w:r>
          </w:p>
        </w:tc>
      </w:tr>
      <w:tr w:rsidR="005378FF" w:rsidRPr="00FD30CD" w:rsidTr="00612B1B">
        <w:tc>
          <w:tcPr>
            <w:tcW w:w="4395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Добавочный  </w:t>
            </w:r>
          </w:p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капитал</w:t>
            </w:r>
          </w:p>
        </w:tc>
        <w:tc>
          <w:tcPr>
            <w:tcW w:w="708" w:type="dxa"/>
            <w:vAlign w:val="center"/>
          </w:tcPr>
          <w:p w:rsidR="00295F23" w:rsidRPr="00FD30CD" w:rsidRDefault="00295F23" w:rsidP="00612B1B">
            <w:pPr>
              <w:pStyle w:val="a5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16 100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16 100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22 542</w:t>
            </w:r>
          </w:p>
        </w:tc>
      </w:tr>
      <w:tr w:rsidR="005378FF" w:rsidRPr="00FD30CD" w:rsidTr="00612B1B">
        <w:tc>
          <w:tcPr>
            <w:tcW w:w="4395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Резервный       капитал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1360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781</w:t>
            </w:r>
          </w:p>
        </w:tc>
      </w:tr>
      <w:tr w:rsidR="005378FF" w:rsidRPr="00FD30CD" w:rsidTr="00612B1B">
        <w:tc>
          <w:tcPr>
            <w:tcW w:w="4395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708" w:type="dxa"/>
            <w:vAlign w:val="center"/>
          </w:tcPr>
          <w:p w:rsidR="00295F23" w:rsidRPr="00FD30CD" w:rsidRDefault="00295F23" w:rsidP="00612B1B">
            <w:pPr>
              <w:pStyle w:val="a5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1370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197 161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200 040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192 423</w:t>
            </w:r>
          </w:p>
        </w:tc>
      </w:tr>
      <w:tr w:rsidR="005378FF" w:rsidRPr="00FD30CD" w:rsidTr="00612B1B">
        <w:tc>
          <w:tcPr>
            <w:tcW w:w="4395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1520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6 759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11 447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1 293</w:t>
            </w:r>
          </w:p>
        </w:tc>
      </w:tr>
      <w:tr w:rsidR="005378FF" w:rsidRPr="00FD30CD" w:rsidTr="00612B1B">
        <w:tc>
          <w:tcPr>
            <w:tcW w:w="4395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1540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110</w:t>
            </w:r>
          </w:p>
        </w:tc>
      </w:tr>
      <w:tr w:rsidR="005378FF" w:rsidRPr="00FD30CD" w:rsidTr="00612B1B">
        <w:tc>
          <w:tcPr>
            <w:tcW w:w="4395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Баланс</w:t>
            </w:r>
          </w:p>
        </w:tc>
        <w:tc>
          <w:tcPr>
            <w:tcW w:w="708" w:type="dxa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224 000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231 564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220 274</w:t>
            </w:r>
          </w:p>
        </w:tc>
      </w:tr>
    </w:tbl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Основные средства Общества полностью </w:t>
      </w:r>
      <w:proofErr w:type="gramStart"/>
      <w:r w:rsidRPr="00FD30CD">
        <w:rPr>
          <w:color w:val="000000" w:themeColor="text1"/>
          <w:sz w:val="22"/>
          <w:szCs w:val="22"/>
        </w:rPr>
        <w:t>с</w:t>
      </w:r>
      <w:proofErr w:type="gramEnd"/>
      <w:r w:rsidRPr="00FD30CD">
        <w:rPr>
          <w:color w:val="000000" w:themeColor="text1"/>
          <w:sz w:val="22"/>
          <w:szCs w:val="22"/>
        </w:rPr>
        <w:t xml:space="preserve"> амортизированы.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>Финансовые вложения Общества включают в себя: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долгосрочные вложения в доли и акции в других организациях – 120 817 тыс. руб.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вложения в ценные бумаги, обращающиеся на организованном рынке – 3 737 тыс. руб.;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предоставленные денежные займы  - 54 191 тыс. руб.;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приобретенные права – 986 тыс. руб.</w:t>
      </w:r>
      <w:r w:rsidRPr="00FD30CD">
        <w:rPr>
          <w:color w:val="000000" w:themeColor="text1"/>
          <w:sz w:val="22"/>
          <w:szCs w:val="22"/>
        </w:rPr>
        <w:tab/>
        <w:t xml:space="preserve"> 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Дебиторская задолженность составляет  - 36 551 тыс. руб.,    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>в том числе: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авансы выданные – 25 тыс. руб.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переплата по налоговым платежам – 94 тыс. руб.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расходы по страховым взносам – 35 тыс. руб.</w:t>
      </w:r>
      <w:r w:rsidRPr="00FD30CD">
        <w:rPr>
          <w:color w:val="000000" w:themeColor="text1"/>
          <w:sz w:val="22"/>
          <w:szCs w:val="22"/>
        </w:rPr>
        <w:tab/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задолженность заемщиков по процентам – 6 679 тыс. руб.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денежные средства на счетах брокера – 1 129 тыс. руб.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lastRenderedPageBreak/>
        <w:t xml:space="preserve">     - задолженность по мировому соглашению – 28 589 тыс. руб.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>Долгосрочных обязательств Общество не имеет.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>Краткосрочные обязательства Общества включают в себя: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расчеты с поставщиками  – 16 тыс. руб.,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задолженность по уплате налогов и страховых взносов – 103 тыс. руб.;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задолженность по выплате заработной платы – 175 тыс. руб.;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задолженность на брокерском счете по операциям с ценными бумагами – 6 465тыс. руб.;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 xml:space="preserve">     - оценочные обязательства – 74 тыс. рублей.</w:t>
      </w:r>
    </w:p>
    <w:p w:rsidR="00295F23" w:rsidRPr="00FD30CD" w:rsidRDefault="00295F23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>«Отчет о финансовых результатах» (</w:t>
      </w:r>
      <w:proofErr w:type="spellStart"/>
      <w:r w:rsidRPr="00FD30CD">
        <w:rPr>
          <w:color w:val="000000" w:themeColor="text1"/>
          <w:sz w:val="22"/>
          <w:szCs w:val="22"/>
        </w:rPr>
        <w:t>тыс</w:t>
      </w:r>
      <w:proofErr w:type="gramStart"/>
      <w:r w:rsidRPr="00FD30CD">
        <w:rPr>
          <w:color w:val="000000" w:themeColor="text1"/>
          <w:sz w:val="22"/>
          <w:szCs w:val="22"/>
        </w:rPr>
        <w:t>.р</w:t>
      </w:r>
      <w:proofErr w:type="gramEnd"/>
      <w:r w:rsidRPr="00FD30CD">
        <w:rPr>
          <w:color w:val="000000" w:themeColor="text1"/>
          <w:sz w:val="22"/>
          <w:szCs w:val="22"/>
        </w:rPr>
        <w:t>уб</w:t>
      </w:r>
      <w:proofErr w:type="spellEnd"/>
      <w:r w:rsidRPr="00FD30CD">
        <w:rPr>
          <w:color w:val="000000" w:themeColor="text1"/>
          <w:sz w:val="22"/>
          <w:szCs w:val="22"/>
        </w:rPr>
        <w:t>).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708"/>
        <w:gridCol w:w="1560"/>
        <w:gridCol w:w="1275"/>
      </w:tblGrid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код стр.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за 2019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За 2018г.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I. Доходы и расходы по обычным видам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Выручка от продажи товаров, продукции,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26 070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46 596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Себестоимость проданных товаров, продукции,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(28 936)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(44 436)</w:t>
            </w:r>
          </w:p>
        </w:tc>
      </w:tr>
      <w:tr w:rsidR="005378FF" w:rsidRPr="00FD30CD" w:rsidTr="00612B1B">
        <w:trPr>
          <w:trHeight w:val="3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Валовая прибыль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(2 866)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2 160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Коммерческие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(11)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Управленческие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(5 424)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(4 829)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Прибыль (убыток) от продаж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(8 299)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(2 680)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II. Прочие доходы и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Проценты к получению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4 483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4 730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Доходы от участия в других организациях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1 078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Прочие  доходы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3 612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1 623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Прочие 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(4 311)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(3 452)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Прибыль (убыток) до налогообложения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(3 747)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1 299</w:t>
            </w:r>
          </w:p>
        </w:tc>
      </w:tr>
      <w:tr w:rsidR="005378FF" w:rsidRPr="00FD30CD" w:rsidTr="00612B1B">
        <w:trPr>
          <w:trHeight w:val="3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Текущий налог на прибыль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(100)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Отложенный налог на прибыль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(24)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2460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5378FF" w:rsidRPr="00FD30CD" w:rsidTr="00612B1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Чистая прибыль (убыток) отчетного периода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2400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(2 879)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FD30CD" w:rsidRDefault="00295F23" w:rsidP="00612B1B">
            <w:pPr>
              <w:pStyle w:val="a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hAnsi="Arial Narrow"/>
                <w:color w:val="000000" w:themeColor="text1"/>
                <w:sz w:val="22"/>
                <w:szCs w:val="22"/>
              </w:rPr>
              <w:t>1 174</w:t>
            </w:r>
          </w:p>
        </w:tc>
      </w:tr>
    </w:tbl>
    <w:p w:rsidR="00295F23" w:rsidRPr="00FD30CD" w:rsidRDefault="00295F23" w:rsidP="00295F23">
      <w:pPr>
        <w:pStyle w:val="a5"/>
        <w:rPr>
          <w:rFonts w:ascii="Arial Narrow" w:hAnsi="Arial Narrow"/>
          <w:color w:val="000000" w:themeColor="text1"/>
          <w:sz w:val="22"/>
          <w:szCs w:val="22"/>
        </w:rPr>
      </w:pPr>
      <w:r w:rsidRPr="00FD30C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FD30CD">
        <w:rPr>
          <w:color w:val="000000" w:themeColor="text1"/>
          <w:sz w:val="22"/>
          <w:szCs w:val="22"/>
        </w:rPr>
        <w:t>В результате финансово-хозяйственной деятельности в отчетном году получен бухгалтерский убыток в сумме 2879 тыс. рублей</w:t>
      </w:r>
      <w:r w:rsidRPr="00FD30CD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295F23" w:rsidRPr="00FD30CD" w:rsidRDefault="00813B2F" w:rsidP="00295F23">
      <w:pPr>
        <w:pStyle w:val="a5"/>
        <w:rPr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>«</w:t>
      </w:r>
      <w:r w:rsidR="00295F23" w:rsidRPr="00FD30CD">
        <w:rPr>
          <w:color w:val="000000" w:themeColor="text1"/>
          <w:sz w:val="22"/>
          <w:szCs w:val="22"/>
        </w:rPr>
        <w:t>Отчет об изменениях капитала</w:t>
      </w:r>
      <w:r w:rsidRPr="00FD30CD">
        <w:rPr>
          <w:color w:val="000000" w:themeColor="text1"/>
          <w:sz w:val="22"/>
          <w:szCs w:val="22"/>
        </w:rPr>
        <w:t>»</w:t>
      </w:r>
      <w:r w:rsidR="00295F23" w:rsidRPr="00FD30CD">
        <w:rPr>
          <w:color w:val="000000" w:themeColor="text1"/>
          <w:sz w:val="22"/>
          <w:szCs w:val="22"/>
        </w:rPr>
        <w:t xml:space="preserve"> (</w:t>
      </w:r>
      <w:proofErr w:type="spellStart"/>
      <w:r w:rsidR="00295F23" w:rsidRPr="00FD30CD">
        <w:rPr>
          <w:color w:val="000000" w:themeColor="text1"/>
          <w:sz w:val="22"/>
          <w:szCs w:val="22"/>
        </w:rPr>
        <w:t>тыс</w:t>
      </w:r>
      <w:proofErr w:type="gramStart"/>
      <w:r w:rsidR="00295F23" w:rsidRPr="00FD30CD">
        <w:rPr>
          <w:color w:val="000000" w:themeColor="text1"/>
          <w:sz w:val="22"/>
          <w:szCs w:val="22"/>
        </w:rPr>
        <w:t>.р</w:t>
      </w:r>
      <w:proofErr w:type="gramEnd"/>
      <w:r w:rsidR="00295F23" w:rsidRPr="00FD30CD">
        <w:rPr>
          <w:color w:val="000000" w:themeColor="text1"/>
          <w:sz w:val="22"/>
          <w:szCs w:val="22"/>
        </w:rPr>
        <w:t>уб</w:t>
      </w:r>
      <w:proofErr w:type="spellEnd"/>
      <w:r w:rsidR="00295F23" w:rsidRPr="00FD30CD">
        <w:rPr>
          <w:color w:val="000000" w:themeColor="text1"/>
          <w:sz w:val="22"/>
          <w:szCs w:val="22"/>
        </w:rPr>
        <w:t>).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1276"/>
        <w:gridCol w:w="1276"/>
        <w:gridCol w:w="1134"/>
        <w:gridCol w:w="1276"/>
        <w:gridCol w:w="992"/>
      </w:tblGrid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92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Уставный капитал</w:t>
            </w:r>
          </w:p>
        </w:tc>
        <w:tc>
          <w:tcPr>
            <w:tcW w:w="1276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Собственные акции, выкупленные у акционеров</w:t>
            </w:r>
          </w:p>
        </w:tc>
        <w:tc>
          <w:tcPr>
            <w:tcW w:w="1276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Добавочный капитал</w:t>
            </w:r>
          </w:p>
        </w:tc>
        <w:tc>
          <w:tcPr>
            <w:tcW w:w="1134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Резервный капитал</w:t>
            </w:r>
          </w:p>
        </w:tc>
        <w:tc>
          <w:tcPr>
            <w:tcW w:w="1276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Нераспределенная прибыл</w:t>
            </w:r>
            <w:proofErr w:type="gramStart"/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ь(</w:t>
            </w:r>
            <w:proofErr w:type="gramEnd"/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непокрытый убыток)</w:t>
            </w:r>
          </w:p>
        </w:tc>
        <w:tc>
          <w:tcPr>
            <w:tcW w:w="992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Величина капитала на 31.12.2017г.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3 125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22 542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192 423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218 871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Увеличение капитала за 2018год всего: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7 617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7 617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в том числе:</w:t>
            </w:r>
          </w:p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- чистая прибыль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3211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1 175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- доходы, относящиеся непосредственно на увеличение капитала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6 442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6 442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Уменьшение капитала за 2018 год всего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(6 442)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(6 442)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в том числе:</w:t>
            </w:r>
          </w:p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- расходы, относящиеся непосредственно на уменьшение капитала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(6 442)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(6 442)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Величина капитала на 31.12.2018г.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3 125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16 100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781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200 040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220 046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lastRenderedPageBreak/>
              <w:t>Увеличение капитала за 2019год всего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Уменьшение капитала за 2019 год всего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(2 879)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(2 879)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- в том числе:     убыток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(2 879)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(2 879)</w:t>
            </w:r>
          </w:p>
        </w:tc>
      </w:tr>
      <w:tr w:rsidR="005378FF" w:rsidRPr="00FD30CD" w:rsidTr="00612B1B">
        <w:tc>
          <w:tcPr>
            <w:tcW w:w="2268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Величина капитала на 31.12.2019г.</w:t>
            </w:r>
          </w:p>
        </w:tc>
        <w:tc>
          <w:tcPr>
            <w:tcW w:w="709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3 125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16 100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781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197 161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217 167</w:t>
            </w:r>
          </w:p>
        </w:tc>
      </w:tr>
    </w:tbl>
    <w:p w:rsidR="00295F23" w:rsidRPr="00FD30CD" w:rsidRDefault="00813B2F" w:rsidP="00295F23">
      <w:pPr>
        <w:pStyle w:val="a5"/>
        <w:rPr>
          <w:rFonts w:ascii="Arial Narrow" w:hAnsi="Arial Narrow"/>
          <w:color w:val="000000" w:themeColor="text1"/>
          <w:sz w:val="22"/>
          <w:szCs w:val="22"/>
        </w:rPr>
      </w:pPr>
      <w:r w:rsidRPr="00FD30CD">
        <w:rPr>
          <w:color w:val="000000" w:themeColor="text1"/>
          <w:sz w:val="22"/>
          <w:szCs w:val="22"/>
        </w:rPr>
        <w:t>«</w:t>
      </w:r>
      <w:r w:rsidR="00295F23" w:rsidRPr="00FD30CD">
        <w:rPr>
          <w:color w:val="000000" w:themeColor="text1"/>
          <w:sz w:val="22"/>
          <w:szCs w:val="22"/>
        </w:rPr>
        <w:t>Отчет о движении денежных средств</w:t>
      </w:r>
      <w:r w:rsidRPr="00FD30CD">
        <w:rPr>
          <w:color w:val="000000" w:themeColor="text1"/>
          <w:sz w:val="22"/>
          <w:szCs w:val="22"/>
        </w:rPr>
        <w:t>»</w:t>
      </w:r>
      <w:r w:rsidR="00295F23" w:rsidRPr="00FD30CD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proofErr w:type="spellStart"/>
      <w:r w:rsidR="00295F23" w:rsidRPr="00FD30CD">
        <w:rPr>
          <w:rFonts w:ascii="Arial Narrow" w:hAnsi="Arial Narrow"/>
          <w:color w:val="000000" w:themeColor="text1"/>
          <w:sz w:val="22"/>
          <w:szCs w:val="22"/>
        </w:rPr>
        <w:t>тыс</w:t>
      </w:r>
      <w:proofErr w:type="gramStart"/>
      <w:r w:rsidR="00295F23" w:rsidRPr="00FD30CD">
        <w:rPr>
          <w:rFonts w:ascii="Arial Narrow" w:hAnsi="Arial Narrow"/>
          <w:color w:val="000000" w:themeColor="text1"/>
          <w:sz w:val="22"/>
          <w:szCs w:val="22"/>
        </w:rPr>
        <w:t>.р</w:t>
      </w:r>
      <w:proofErr w:type="gramEnd"/>
      <w:r w:rsidR="00295F23" w:rsidRPr="00FD30CD">
        <w:rPr>
          <w:rFonts w:ascii="Arial Narrow" w:hAnsi="Arial Narrow"/>
          <w:color w:val="000000" w:themeColor="text1"/>
          <w:sz w:val="22"/>
          <w:szCs w:val="22"/>
        </w:rPr>
        <w:t>уб</w:t>
      </w:r>
      <w:proofErr w:type="spellEnd"/>
      <w:r w:rsidR="00295F23" w:rsidRPr="00FD30CD">
        <w:rPr>
          <w:rFonts w:ascii="Arial Narrow" w:hAnsi="Arial Narrow"/>
          <w:color w:val="000000" w:themeColor="text1"/>
          <w:sz w:val="22"/>
          <w:szCs w:val="22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1843"/>
        <w:gridCol w:w="1950"/>
      </w:tblGrid>
      <w:tr w:rsidR="005378FF" w:rsidRPr="00FD30CD" w:rsidTr="00612B1B">
        <w:tc>
          <w:tcPr>
            <w:tcW w:w="482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Январь-декабрь 2019г.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Январь-декабрь 2018г.</w:t>
            </w:r>
          </w:p>
        </w:tc>
      </w:tr>
      <w:tr w:rsidR="005378FF" w:rsidRPr="00FD30CD" w:rsidTr="00612B1B">
        <w:tc>
          <w:tcPr>
            <w:tcW w:w="5670" w:type="dxa"/>
            <w:gridSpan w:val="2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Денежные потоки от текущих операций</w:t>
            </w:r>
          </w:p>
        </w:tc>
        <w:tc>
          <w:tcPr>
            <w:tcW w:w="1843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Поступления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1 202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1 511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от перепродажи финансовых вложений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630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прочие поступления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1 202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881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Платежи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(7 180)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(7 097)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поставщикам за материалы, работы, услуги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(591)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(425)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в связи с оплатой труда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(3 124)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(2 783)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налога на прибыль организаций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(54)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(30)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прочие платежи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(3 411)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(3 859)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Сальдо денежных потоков от текущих операций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(5 978)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(5 586)</w:t>
            </w:r>
          </w:p>
        </w:tc>
      </w:tr>
      <w:tr w:rsidR="005378FF" w:rsidRPr="00FD30CD" w:rsidTr="00612B1B">
        <w:tc>
          <w:tcPr>
            <w:tcW w:w="5670" w:type="dxa"/>
            <w:gridSpan w:val="2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Денежные потоки от инвестиционных операций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Поступления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4 868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6 519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 от возврата предоставленных займов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4213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2 150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4 231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            дивидендов, процентов по долговым   финансовым вложениям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4214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2 718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2 288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Платежи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Сальдо денежных потоков от инвестиционных операций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4 868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6 519</w:t>
            </w:r>
          </w:p>
        </w:tc>
      </w:tr>
      <w:tr w:rsidR="005378FF" w:rsidRPr="00FD30CD" w:rsidTr="00612B1B">
        <w:tc>
          <w:tcPr>
            <w:tcW w:w="5670" w:type="dxa"/>
            <w:gridSpan w:val="2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Денежные потоки от финансовых операций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Поступления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Платежи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Сальдо денежных потоков от финансовых операций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Сальдо денежных потоков за отчетный период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(1 110)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933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1 143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210</w:t>
            </w:r>
          </w:p>
        </w:tc>
      </w:tr>
      <w:tr w:rsidR="005378FF" w:rsidRPr="00FD30CD" w:rsidTr="00612B1B">
        <w:tc>
          <w:tcPr>
            <w:tcW w:w="4820" w:type="dxa"/>
            <w:shd w:val="clear" w:color="auto" w:fill="auto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5F23" w:rsidRPr="00FD30CD" w:rsidRDefault="00295F23" w:rsidP="00612B1B">
            <w:pPr>
              <w:pStyle w:val="a5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FD30CD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1 143</w:t>
            </w:r>
          </w:p>
        </w:tc>
      </w:tr>
    </w:tbl>
    <w:p w:rsidR="00295F23" w:rsidRPr="00FD30CD" w:rsidRDefault="00612B1B" w:rsidP="008E3A1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Информация о связанных сторонах общества</w:t>
      </w:r>
      <w:r w:rsidR="008E3A11" w:rsidRPr="00FD30CD">
        <w:rPr>
          <w:color w:val="000000" w:themeColor="text1"/>
        </w:rPr>
        <w:t xml:space="preserve"> имеющие место в отчетном году в период с 1 января по 31 декабря 2019 года</w:t>
      </w:r>
    </w:p>
    <w:p w:rsidR="00295F23" w:rsidRPr="00FD30CD" w:rsidRDefault="008E3A11" w:rsidP="008E3A1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Связанными сторонами общества подконтрольные организации</w:t>
      </w:r>
      <w:proofErr w:type="gramStart"/>
      <w:r w:rsidRPr="00FD30CD">
        <w:rPr>
          <w:color w:val="000000" w:themeColor="text1"/>
        </w:rPr>
        <w:t xml:space="preserve"> :</w:t>
      </w:r>
      <w:proofErr w:type="gramEnd"/>
    </w:p>
    <w:p w:rsidR="008E3A11" w:rsidRPr="00FD30CD" w:rsidRDefault="008E3A11" w:rsidP="008E3A1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ООО «Геликон»- 100 % участия в уставном капитале</w:t>
      </w:r>
    </w:p>
    <w:p w:rsidR="008E3A11" w:rsidRPr="00FD30CD" w:rsidRDefault="008E3A11" w:rsidP="008E3A1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ООО «</w:t>
      </w:r>
      <w:proofErr w:type="spellStart"/>
      <w:r w:rsidRPr="00FD30CD">
        <w:rPr>
          <w:color w:val="000000" w:themeColor="text1"/>
        </w:rPr>
        <w:t>Сибтехмонтаж</w:t>
      </w:r>
      <w:proofErr w:type="spellEnd"/>
      <w:r w:rsidR="00C64315" w:rsidRPr="00FD30CD">
        <w:rPr>
          <w:color w:val="000000" w:themeColor="text1"/>
        </w:rPr>
        <w:t xml:space="preserve"> </w:t>
      </w:r>
      <w:proofErr w:type="gramStart"/>
      <w:r w:rsidRPr="00FD30CD">
        <w:rPr>
          <w:color w:val="000000" w:themeColor="text1"/>
        </w:rPr>
        <w:t>-Ц</w:t>
      </w:r>
      <w:proofErr w:type="gramEnd"/>
      <w:r w:rsidRPr="00FD30CD">
        <w:rPr>
          <w:color w:val="000000" w:themeColor="text1"/>
        </w:rPr>
        <w:t>ентр»- 80 % участия в уставном капитале</w:t>
      </w:r>
    </w:p>
    <w:p w:rsidR="00B4019D" w:rsidRDefault="008E3A11" w:rsidP="008E3A1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ООО « Каскад-М» ( опосредованно через ООО «Геликон»- участник в ООО «Каскад </w:t>
      </w:r>
      <w:proofErr w:type="gramStart"/>
      <w:r w:rsidRPr="00FD30CD">
        <w:rPr>
          <w:color w:val="000000" w:themeColor="text1"/>
        </w:rPr>
        <w:t>–М</w:t>
      </w:r>
      <w:proofErr w:type="gramEnd"/>
      <w:r w:rsidRPr="00FD30CD">
        <w:rPr>
          <w:color w:val="000000" w:themeColor="text1"/>
        </w:rPr>
        <w:t>»-99,99% уставного капитала»</w:t>
      </w:r>
    </w:p>
    <w:p w:rsidR="00A302E1" w:rsidRPr="00D4639C" w:rsidRDefault="00A302E1" w:rsidP="008E3A11">
      <w:pPr>
        <w:pStyle w:val="a5"/>
      </w:pPr>
      <w:r w:rsidRPr="00D4639C">
        <w:rPr>
          <w:color w:val="000000" w:themeColor="text1"/>
        </w:rPr>
        <w:t xml:space="preserve">Заключение Ревизионной комиссии от </w:t>
      </w:r>
      <w:r w:rsidR="004F2701">
        <w:rPr>
          <w:color w:val="000000" w:themeColor="text1"/>
        </w:rPr>
        <w:t>«</w:t>
      </w:r>
      <w:r w:rsidRPr="00D4639C">
        <w:rPr>
          <w:color w:val="000000" w:themeColor="text1"/>
        </w:rPr>
        <w:t>19</w:t>
      </w:r>
      <w:r w:rsidR="004F2701">
        <w:rPr>
          <w:color w:val="000000" w:themeColor="text1"/>
        </w:rPr>
        <w:t>»</w:t>
      </w:r>
      <w:r w:rsidRPr="00D4639C">
        <w:rPr>
          <w:color w:val="000000" w:themeColor="text1"/>
        </w:rPr>
        <w:t xml:space="preserve"> марта 2020 года проведено в</w:t>
      </w:r>
      <w:r w:rsidRPr="00D4639C">
        <w:t xml:space="preserve"> рамках проверки финансово-хозяйственной деятельности ПАО «Фонд Ковчег» в соответствии с Уставом ПАО «Фонд Ковчег», Федеральным законом Российской Федерации «Об акционерных обществах» от 26.12.1995 № 208-ФЗ, на основании Положения о Ревизионной комиссии Открытого акционерного общества «Фонд Ковчег», утверждённого годовым Общим собранием акционеров. </w:t>
      </w:r>
    </w:p>
    <w:p w:rsidR="004F2701" w:rsidRDefault="00A302E1" w:rsidP="008E3A11">
      <w:pPr>
        <w:pStyle w:val="a5"/>
      </w:pPr>
      <w:r w:rsidRPr="00D4639C">
        <w:lastRenderedPageBreak/>
        <w:t xml:space="preserve"> Ревизионная комиссия выполняла следующие задачи:  осуществление </w:t>
      </w:r>
      <w:proofErr w:type="gramStart"/>
      <w:r w:rsidRPr="00D4639C">
        <w:t>контроля за</w:t>
      </w:r>
      <w:proofErr w:type="gramEnd"/>
      <w:r w:rsidRPr="00D4639C">
        <w:t xml:space="preserve"> финансово-хозяйственной деятельностью Общества;  обеспечение наблюдения за соответствием совершаемых Обществом финансово-хозяйственных операций законодательству Российской Федерации и Уставу Общества; осуществление независимой оценки информации о финансовом состоянии Общества.</w:t>
      </w:r>
    </w:p>
    <w:p w:rsidR="00A302E1" w:rsidRPr="00D4639C" w:rsidRDefault="00A302E1" w:rsidP="008E3A11">
      <w:pPr>
        <w:pStyle w:val="a5"/>
      </w:pPr>
      <w:r w:rsidRPr="00D4639C">
        <w:t>Заключение Ревизионной комиссии подготовлено на основании проверки следующих материалов:</w:t>
      </w:r>
    </w:p>
    <w:p w:rsidR="005A46A1" w:rsidRPr="00D4639C" w:rsidRDefault="005A46A1" w:rsidP="008E3A11">
      <w:pPr>
        <w:pStyle w:val="a5"/>
      </w:pPr>
      <w:r w:rsidRPr="00D4639C">
        <w:t>1</w:t>
      </w:r>
      <w:r w:rsidR="00396D18" w:rsidRPr="00D4639C">
        <w:t>.</w:t>
      </w:r>
      <w:r w:rsidRPr="00D4639C">
        <w:t>Протоколы заседаний Совета директоров Общества за 2019 год</w:t>
      </w:r>
    </w:p>
    <w:p w:rsidR="005A46A1" w:rsidRPr="00D4639C" w:rsidRDefault="005A46A1" w:rsidP="008E3A11">
      <w:pPr>
        <w:pStyle w:val="a5"/>
      </w:pPr>
      <w:r w:rsidRPr="00D4639C">
        <w:t>2.Внутренние документы Общества (выборочно)</w:t>
      </w:r>
    </w:p>
    <w:p w:rsidR="005A46A1" w:rsidRPr="00D4639C" w:rsidRDefault="005A46A1" w:rsidP="008E3A11">
      <w:pPr>
        <w:pStyle w:val="a5"/>
        <w:rPr>
          <w:color w:val="000000" w:themeColor="text1"/>
        </w:rPr>
      </w:pPr>
      <w:r w:rsidRPr="00D4639C">
        <w:rPr>
          <w:color w:val="000000" w:themeColor="text1"/>
        </w:rPr>
        <w:t>3.Годовой отчет Общества за 2019 год</w:t>
      </w:r>
    </w:p>
    <w:p w:rsidR="005A46A1" w:rsidRPr="00D4639C" w:rsidRDefault="005A46A1" w:rsidP="008E3A11">
      <w:pPr>
        <w:pStyle w:val="a5"/>
        <w:rPr>
          <w:color w:val="000000" w:themeColor="text1"/>
        </w:rPr>
      </w:pPr>
      <w:r w:rsidRPr="00D4639C">
        <w:rPr>
          <w:color w:val="000000" w:themeColor="text1"/>
        </w:rPr>
        <w:t>4.Документы бухгалтерской, налоговой, статистической отчетности Общества за 2019 год</w:t>
      </w:r>
    </w:p>
    <w:p w:rsidR="005A46A1" w:rsidRPr="005A46A1" w:rsidRDefault="00396D18" w:rsidP="005A46A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46A1" w:rsidRPr="005A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.Первичные документы Общества за 201</w:t>
      </w:r>
      <w:r w:rsidR="005A46A1" w:rsidRPr="00D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5A46A1" w:rsidRPr="005A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год, в том числе: кассовые и банковские документы, договоры займа, цессии, хозяйственные договоры, брокерские отчеты, акты, накладные, счета-фактуры и др.  </w:t>
      </w:r>
    </w:p>
    <w:p w:rsidR="005A46A1" w:rsidRPr="005A46A1" w:rsidRDefault="00396D18" w:rsidP="005A46A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A46A1" w:rsidRPr="005A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Другие документы, предусмотренные законодательством Российской Федерации. </w:t>
      </w:r>
    </w:p>
    <w:p w:rsidR="005A46A1" w:rsidRPr="005A46A1" w:rsidRDefault="00D4639C" w:rsidP="005A4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39C">
        <w:rPr>
          <w:rFonts w:ascii="Times New Roman" w:hAnsi="Times New Roman" w:cs="Times New Roman"/>
        </w:rPr>
        <w:t>По итогам рассмотрения предоставленных материалов Ревизионная комиссия отмечает следующее:</w:t>
      </w:r>
    </w:p>
    <w:p w:rsidR="00D4639C" w:rsidRPr="00D4639C" w:rsidRDefault="00D4639C" w:rsidP="00D4639C">
      <w:pPr>
        <w:pStyle w:val="a5"/>
      </w:pPr>
      <w:r w:rsidRPr="00D4639C">
        <w:t xml:space="preserve">       1.Учредительные и организационные документы Общества соответствуют действующему законодательству Российской Федерации.</w:t>
      </w:r>
    </w:p>
    <w:p w:rsidR="00D4639C" w:rsidRPr="00D4639C" w:rsidRDefault="00D4639C" w:rsidP="00D4639C">
      <w:pPr>
        <w:pStyle w:val="a5"/>
      </w:pPr>
      <w:r w:rsidRPr="00D4639C">
        <w:t xml:space="preserve">      2. По итогам проверки финансово-хозяйственной деятельности ПАО «Фонд Ковчег» за 2019 год достоверность данных, содержащихся в первичных учетных документах,  в отчетах, и иных финансовых документах Общества подтверждается. Нарушений формирования себестоимости реализованных товаров (работ, услуг) за проверяемый период не установлено. </w:t>
      </w:r>
    </w:p>
    <w:p w:rsidR="00D4639C" w:rsidRPr="00D4639C" w:rsidRDefault="00D4639C" w:rsidP="00D4639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Бухгалтерский баланс, отчет о финансовых результатах и все остальные формы бухгалтерской отчетности составлены в соответствии с Положением о бухгалтерском учете и отчетности в Российской Федерации на основании учетных записей, произведенных согласно утвержденному плану счетов бухгалтерского учета финансово-хозяйственной деятельности Общества.</w:t>
      </w:r>
    </w:p>
    <w:p w:rsidR="00D4639C" w:rsidRPr="00D4639C" w:rsidRDefault="00D4639C" w:rsidP="00D4639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проверки не выявлено фактов нарушения установленных правовыми актами Российской Федерации порядка ведения бухгалтерского учета и представления финансовой и производственной отчетности при осуществлении финансово-хозяйственной деятельности, не обнаружено нарушений положений устава Общества, правовых и нормативных актов Российской Федерации.</w:t>
      </w:r>
    </w:p>
    <w:p w:rsidR="00D4639C" w:rsidRPr="00D4639C" w:rsidRDefault="00D4639C" w:rsidP="00D4639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 мнению, </w:t>
      </w:r>
      <w:proofErr w:type="gramStart"/>
      <w:r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</w:t>
      </w:r>
      <w:proofErr w:type="gramEnd"/>
      <w:r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бухгалтерская (финансовая) отчетность Общества отражает достоверно во всех существенных отношениях, факты хозяйственной жизни и результаты финансово-хозяйственной деятельности за 2019 год в соответствии с установленными в Российской Федерации правилами ведения бухгалтерского учета и представления  бухгалтерской отчетности. </w:t>
      </w:r>
    </w:p>
    <w:p w:rsidR="00D4639C" w:rsidRPr="00D4639C" w:rsidRDefault="00D4639C" w:rsidP="00D4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39C">
        <w:rPr>
          <w:rFonts w:ascii="Times New Roman" w:hAnsi="Times New Roman" w:cs="Times New Roman"/>
        </w:rPr>
        <w:t>Ревизионная комиссия имеет достаточные основания для подтверждения достоверности всех существенных аспектов годовой бухгалтерской (финансовой) отчётности Общества за 2019 год, а также подтверждения достоверности сведений, содержащихся в годовом отчёте ПАО «Фонд Ковчег» за 2019 год.</w:t>
      </w:r>
    </w:p>
    <w:p w:rsidR="009D48B9" w:rsidRDefault="007D602E" w:rsidP="00D4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ревизионной комиссии заверено</w:t>
      </w:r>
      <w:r w:rsid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4639C"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D4639C"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</w:t>
      </w:r>
    </w:p>
    <w:p w:rsidR="00D4639C" w:rsidRPr="00D4639C" w:rsidRDefault="007D602E" w:rsidP="00D4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человек</w:t>
      </w:r>
      <w:r w:rsidR="00D4639C"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39C"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Нилова Татьяна Владимировна</w:t>
      </w:r>
      <w:r w:rsid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639C"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Пушнина Людмила Зиновьевна       </w:t>
      </w:r>
    </w:p>
    <w:p w:rsidR="00D4639C" w:rsidRPr="00D4639C" w:rsidRDefault="00D4639C" w:rsidP="00D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Ревизионной комиссии:</w:t>
      </w:r>
      <w:r w:rsidR="007D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Вахрушина Ольга Владимировна   </w:t>
      </w:r>
    </w:p>
    <w:p w:rsidR="0008031E" w:rsidRDefault="00AF6373" w:rsidP="0008031E">
      <w:pPr>
        <w:pStyle w:val="a5"/>
        <w:rPr>
          <w:rFonts w:eastAsia="Calibri"/>
          <w:color w:val="000000" w:themeColor="text1"/>
        </w:rPr>
      </w:pPr>
      <w:r>
        <w:t>Заключение Ревизионной комиссии по  результатам 2019 бухгалтерского (финансового) года опубликовано</w:t>
      </w:r>
      <w:r w:rsidR="0008031E" w:rsidRPr="0008031E">
        <w:rPr>
          <w:rFonts w:eastAsia="Calibri"/>
          <w:color w:val="000000" w:themeColor="text1"/>
        </w:rPr>
        <w:t xml:space="preserve"> </w:t>
      </w:r>
      <w:r w:rsidR="0008031E">
        <w:rPr>
          <w:rFonts w:eastAsia="Calibri"/>
          <w:color w:val="000000" w:themeColor="text1"/>
        </w:rPr>
        <w:t>и доступно:</w:t>
      </w:r>
    </w:p>
    <w:p w:rsidR="0008031E" w:rsidRPr="00FD30CD" w:rsidRDefault="0008031E" w:rsidP="0008031E">
      <w:pPr>
        <w:pStyle w:val="a5"/>
        <w:rPr>
          <w:rFonts w:eastAsiaTheme="minorEastAsia"/>
          <w:color w:val="000000" w:themeColor="text1"/>
        </w:rPr>
      </w:pPr>
      <w:r>
        <w:t>-на сайте общества;</w:t>
      </w:r>
      <w:r w:rsidRPr="00FD30CD">
        <w:rPr>
          <w:rFonts w:eastAsiaTheme="minorEastAsia"/>
          <w:color w:val="000000" w:themeColor="text1"/>
        </w:rPr>
        <w:t xml:space="preserve"> www.factor.ru</w:t>
      </w:r>
    </w:p>
    <w:p w:rsidR="0008031E" w:rsidRDefault="0008031E" w:rsidP="0008031E">
      <w:pPr>
        <w:pStyle w:val="a5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-на </w:t>
      </w:r>
      <w:r w:rsidRPr="00FD30CD">
        <w:rPr>
          <w:rFonts w:eastAsiaTheme="minorEastAsia"/>
          <w:color w:val="000000" w:themeColor="text1"/>
        </w:rPr>
        <w:t>страниц</w:t>
      </w:r>
      <w:r>
        <w:rPr>
          <w:rFonts w:eastAsiaTheme="minorEastAsia"/>
          <w:color w:val="000000" w:themeColor="text1"/>
        </w:rPr>
        <w:t>е</w:t>
      </w:r>
      <w:r w:rsidRPr="00FD30CD">
        <w:rPr>
          <w:rFonts w:eastAsiaTheme="minorEastAsia"/>
          <w:color w:val="000000" w:themeColor="text1"/>
        </w:rPr>
        <w:t xml:space="preserve"> в сети Интернет </w:t>
      </w:r>
      <w:hyperlink r:id="rId12" w:history="1">
        <w:r w:rsidRPr="00F73E16">
          <w:rPr>
            <w:rStyle w:val="a6"/>
            <w:rFonts w:eastAsiaTheme="minorEastAsia"/>
          </w:rPr>
          <w:t>www.e-iscloure.ru/portal/company.aspx?id=23832</w:t>
        </w:r>
      </w:hyperlink>
    </w:p>
    <w:p w:rsidR="00AF6373" w:rsidRDefault="00AF6373" w:rsidP="00AF6373">
      <w:pPr>
        <w:pStyle w:val="a5"/>
      </w:pPr>
    </w:p>
    <w:p w:rsidR="00072354" w:rsidRPr="00FD30CD" w:rsidRDefault="00FD45F6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F1FED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Приоритетные направления деятельности акционерного общества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:rsidR="00396D21" w:rsidRPr="00FD30CD" w:rsidRDefault="006D1BAB" w:rsidP="00396D21">
      <w:pPr>
        <w:pStyle w:val="a5"/>
        <w:rPr>
          <w:color w:val="000000" w:themeColor="text1"/>
        </w:rPr>
      </w:pPr>
      <w:bookmarkStart w:id="3" w:name="Par3"/>
      <w:bookmarkEnd w:id="3"/>
      <w:r w:rsidRPr="00FD30CD">
        <w:rPr>
          <w:b/>
          <w:bCs/>
          <w:color w:val="000000" w:themeColor="text1"/>
        </w:rPr>
        <w:t xml:space="preserve">  </w:t>
      </w:r>
      <w:r w:rsidR="00D95387" w:rsidRPr="00FD30CD">
        <w:rPr>
          <w:b/>
          <w:bCs/>
          <w:color w:val="000000" w:themeColor="text1"/>
        </w:rPr>
        <w:t xml:space="preserve">        П</w:t>
      </w:r>
      <w:r w:rsidR="00396D21" w:rsidRPr="00FD30CD">
        <w:rPr>
          <w:color w:val="000000" w:themeColor="text1"/>
        </w:rPr>
        <w:t>риоритетными направлениями деятельности акционерного общества остаются:</w:t>
      </w:r>
    </w:p>
    <w:p w:rsidR="00396D21" w:rsidRPr="00FD30CD" w:rsidRDefault="00396D21" w:rsidP="00396D21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-вложение денежных сре</w:t>
      </w:r>
      <w:proofErr w:type="gramStart"/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дств в ц</w:t>
      </w:r>
      <w:proofErr w:type="gramEnd"/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енные бумаги, обращающиеся на организованном рынке ценных бумаг</w:t>
      </w:r>
    </w:p>
    <w:p w:rsidR="00396D21" w:rsidRPr="00FD30CD" w:rsidRDefault="00396D21" w:rsidP="00396D21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-усиление работы по взысканию дебиторской задолженности</w:t>
      </w:r>
    </w:p>
    <w:p w:rsidR="00396D21" w:rsidRPr="00FD30CD" w:rsidRDefault="00396D21" w:rsidP="00396D21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повышение квалификации сотрудников компании</w:t>
      </w:r>
    </w:p>
    <w:p w:rsidR="00396D21" w:rsidRPr="00FD30CD" w:rsidRDefault="00396D21" w:rsidP="00396D21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осуществление любых видов деятельности не запрещенных Уставом и законодательством с целью извлечения прибыли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- в отношении планов организации  нового производства, расширения, сокращения производства, разработки новых видов продукции, модернизации и реконструкции основных средств, возможного изменения основной деятельности - не рассматривается  эмитентом</w:t>
      </w:r>
    </w:p>
    <w:p w:rsidR="00072354" w:rsidRPr="00FD30CD" w:rsidRDefault="008901E1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F1FED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 совета директоров акционерного общества о результатах развития акционерного общества по приоритетным направлениям его деятельности;</w:t>
      </w:r>
    </w:p>
    <w:p w:rsidR="009717D3" w:rsidRPr="00FD30CD" w:rsidRDefault="009717D3" w:rsidP="009717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Подводя итог работе Совета директоров ПАО «Фонд Ковчег» за </w:t>
      </w:r>
      <w:r w:rsidR="007C5B6A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отчетный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 год, можно отметить, что за отчетный 2019 год проведено 8 (восемь)</w:t>
      </w:r>
      <w:r w:rsidR="0010321F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очных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заседаний Совета директоров,</w:t>
      </w:r>
      <w:r w:rsidR="00244DB5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заочных заседаний совет директоров не проводил,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наиболее важными решениями, существенно повлиявшими на деятельность общества в отчетном году, являются следующие:</w:t>
      </w:r>
    </w:p>
    <w:p w:rsidR="009717D3" w:rsidRPr="00FD30CD" w:rsidRDefault="009717D3" w:rsidP="00971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вопросы, касающиеся финансово-хозяйственной деятельности  общества;</w:t>
      </w:r>
    </w:p>
    <w:p w:rsidR="009717D3" w:rsidRPr="00FD30CD" w:rsidRDefault="009717D3" w:rsidP="00971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решения, связанные с подготовкой и проведением общего годового собрания акционеров;</w:t>
      </w:r>
    </w:p>
    <w:p w:rsidR="009717D3" w:rsidRPr="00FD30CD" w:rsidRDefault="009717D3" w:rsidP="00971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решения, связанные с деятельностью исполнительных и контрольных органов управления Обществом (в том числе регулярное заслушивание отчетов исполнительных органов Общества о результатах деятельности компании).</w:t>
      </w:r>
    </w:p>
    <w:p w:rsidR="009717D3" w:rsidRPr="00FD30CD" w:rsidRDefault="009717D3" w:rsidP="009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«Об акционерных обществах» Совету директоров отводится наиболее важная роль в обеспечении прав акционеров, в формировании и реализации стратегии развития Общества, а также в обеспечении его успешной финансово - хозяйственной деятельности. Вся деятельность Совета директоров в отчетном году остается прозрачной для акционеров, поскольку все протоколы заседаний Совета директоров доступны любому акционеру общества по запросу.</w:t>
      </w:r>
    </w:p>
    <w:p w:rsidR="009717D3" w:rsidRPr="00FD30CD" w:rsidRDefault="009717D3" w:rsidP="009717D3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Перспективы развития общества должны быть сформулированы в программе развития Общества</w:t>
      </w:r>
      <w:r w:rsidR="007C5B6A" w:rsidRPr="00FD30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5B6A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приоритетным направлениям его деятельности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2019 год долгосрочная программа развития общества</w:t>
      </w:r>
      <w:r w:rsidR="007C5B6A" w:rsidRPr="00FD30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5B6A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приоритетным направлениям его деятельности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советом директоров не утверждалась в связи с нестабильной экономической ситуацией на рынке ценных бумаг. </w:t>
      </w:r>
      <w:r w:rsidRPr="00FD30C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ar-SA"/>
        </w:rPr>
        <w:t>В отчётном году, приоритетными направлениями деятельности Общества являются: вложения в ценные бумаги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выдача денежных займов.</w:t>
      </w:r>
    </w:p>
    <w:p w:rsidR="009717D3" w:rsidRPr="00FD30CD" w:rsidRDefault="009717D3" w:rsidP="009717D3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рассматриваемые </w:t>
      </w:r>
      <w:r w:rsidR="00994472"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отчетные </w:t>
      </w:r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периоды 2019 года компания получила доход (нарастающим итогом) от операций с ценными бумагами за </w:t>
      </w:r>
      <w:r w:rsidR="006A22AB"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 месяца </w:t>
      </w:r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2019 года – 5130 тыс. рублей, за 6 месяцев 2019 года – 11409 тыс. рублей, за 9 месяцев 2019года 12410 тыс. рублей, за 12 месяцев 2019г.- 26070 тыс. рублей. </w:t>
      </w:r>
      <w:proofErr w:type="gramStart"/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были получены дивиденды по акциям компаний, обращающимся на организованном рынке принадлежащим ПАО «Фонд Ковчег» в сумме 116 тыс. рублей за 3месяца 2019 г, в сумме 219 тыс. рублей за 6месяцев 2019 года, в сумме 693 тыс. рублей за 9 месяцев 2019 года, в сумме 768 тыс. рублей за 12 месяцев 2019</w:t>
      </w:r>
      <w:r w:rsidR="002E5A02"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proofErr w:type="gramEnd"/>
    </w:p>
    <w:p w:rsidR="00985A34" w:rsidRPr="00FD30CD" w:rsidRDefault="009717D3" w:rsidP="00985A34">
      <w:pPr>
        <w:pStyle w:val="a5"/>
        <w:rPr>
          <w:rFonts w:eastAsia="Calibri"/>
          <w:color w:val="000000" w:themeColor="text1"/>
        </w:rPr>
      </w:pPr>
      <w:r w:rsidRPr="00FD30CD">
        <w:rPr>
          <w:rFonts w:eastAsia="Calibri"/>
          <w:color w:val="000000" w:themeColor="text1"/>
        </w:rPr>
        <w:t xml:space="preserve"> По итогам </w:t>
      </w:r>
      <w:r w:rsidR="005F5E3B" w:rsidRPr="00FD30CD">
        <w:rPr>
          <w:rFonts w:eastAsia="Calibri"/>
          <w:color w:val="000000" w:themeColor="text1"/>
        </w:rPr>
        <w:t xml:space="preserve">отчетного периода  </w:t>
      </w:r>
      <w:r w:rsidRPr="00FD30CD">
        <w:rPr>
          <w:snapToGrid w:val="0"/>
          <w:color w:val="000000" w:themeColor="text1"/>
          <w:lang w:eastAsia="ar-SA"/>
        </w:rPr>
        <w:t xml:space="preserve">Обществу не удалось достигнуть положительных финансовых результатов. </w:t>
      </w:r>
      <w:r w:rsidRPr="00FD30CD">
        <w:rPr>
          <w:rFonts w:eastAsia="Calibri"/>
          <w:color w:val="000000" w:themeColor="text1"/>
        </w:rPr>
        <w:t>В 2019 году ПАО «Фонд Ковчег» имел низкую активность в торговле ценными бумагами. Связанно это с тем, что компания изменила структуру пакета ценных бумаг, реализовав низко</w:t>
      </w:r>
      <w:r w:rsidR="00BF29AE" w:rsidRPr="00FD30CD">
        <w:rPr>
          <w:rFonts w:eastAsia="Calibri"/>
          <w:color w:val="000000" w:themeColor="text1"/>
        </w:rPr>
        <w:t xml:space="preserve"> </w:t>
      </w:r>
      <w:r w:rsidRPr="00FD30CD">
        <w:rPr>
          <w:rFonts w:eastAsia="Calibri"/>
          <w:color w:val="000000" w:themeColor="text1"/>
        </w:rPr>
        <w:t xml:space="preserve">ликвидные акции. Денежные средства от реализации активов были направлены на предоставление процентных займов. Доход от данного вида деятельности ПАО «Фонд Ковчег» за рассматриваемые периоды составил: за 3 мес.2019 года -1105 тыс. рублей, за 6 месяцев 2019 года – 2223 тыс. рублей, за 9 месяцев 2019 года - 3353 тыс. рублей, за 12 месяцев 2019г.- 4483 тыс. рублей. </w:t>
      </w:r>
    </w:p>
    <w:p w:rsidR="00A4444A" w:rsidRPr="00FD30CD" w:rsidRDefault="00A4444A" w:rsidP="00985A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C967C2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истые активы общества </w:t>
      </w:r>
      <w:proofErr w:type="gramStart"/>
      <w:r w:rsidR="00C967C2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967C2" w:rsidRPr="00FD30CD" w:rsidRDefault="00C967C2" w:rsidP="00985A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31декабря</w:t>
      </w:r>
      <w:r w:rsidR="00A4444A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2017 года составили 218 871 тыс. руб.</w:t>
      </w:r>
    </w:p>
    <w:p w:rsidR="00C967C2" w:rsidRPr="00FD30CD" w:rsidRDefault="00C967C2" w:rsidP="00985A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31декабря 2018 года составили 220 045 тыс. руб.</w:t>
      </w:r>
    </w:p>
    <w:p w:rsidR="00985A34" w:rsidRPr="00FD30CD" w:rsidRDefault="00CC2B35" w:rsidP="00985A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31декабря 2019 года </w:t>
      </w:r>
      <w:r w:rsidR="00985A34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составили 2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985A34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167</w:t>
      </w:r>
      <w:r w:rsidR="00985A34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</w:p>
    <w:p w:rsidR="00985A34" w:rsidRPr="00FD30CD" w:rsidRDefault="00985A34" w:rsidP="00985A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Чистые активы общества </w:t>
      </w:r>
      <w:r w:rsidR="00652936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063F97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отчетный 2019 год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B122A6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 превышают его уставный капитал.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результате финансово-хозяйственной деятельности в отчетном </w:t>
      </w:r>
      <w:r w:rsidR="000276EB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2019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году получен бухгалтерский убыток  в размере 2</w:t>
      </w:r>
      <w:r w:rsidR="000276EB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879</w:t>
      </w:r>
      <w:r w:rsidR="000276EB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тыс. рублей.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Получение данного убытка произошло вследствие  ряда причин: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общество  заключило, на биржевой площадке Московской биржи, в течение 2019г. ряд сделок по «коротким позициям с ценными бумагами», которые привели к отрицательным результатам;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резкий рост цен на энергоносители и цветные металлы, что в свою очередь отразилось на стоимости акций сырьевых компаний, на которые общество открывало «короткие позиции с ценными бумагами»;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резкое снижение ключевой ставки ЦБ России (с 7,75%  до 6,25%) в течение  2019г., что также отразилось на стоимости акций  включенных в пакет «коротких позиций с ценными бумагами» общества;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риски усиления </w:t>
      </w:r>
      <w:proofErr w:type="spell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санкционного</w:t>
      </w:r>
      <w:proofErr w:type="spell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давление на Россию; 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отрицательная переоценка обращающихся ценных бумаг в связи со спадом российского рынка ценных бумаг. В соответствии с ПБУ 19/02 «Учет финансовых вложений» Общество обязано на отчетную дату проводить переоценку ценных бумаг, обращающихся на организованном рынке ценных бумаг, по их текущей рыночной стоимости.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создание резерва по сомнительным долгам на сумму 18</w:t>
      </w:r>
      <w:r w:rsidR="000276EB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тыс. рублей в отношении задолженности ООО «Паритет» перед обществом по сумме  неустойки по судебному решению;</w:t>
      </w:r>
    </w:p>
    <w:p w:rsidR="00CC2B35" w:rsidRPr="00FD30CD" w:rsidRDefault="00CC2B35" w:rsidP="00CC2B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 создание резерва под обесценение финансовых вложений на сумму 8тыс</w:t>
      </w:r>
      <w:proofErr w:type="gram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.р</w:t>
      </w:r>
      <w:proofErr w:type="gram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ублей в связи с нахождением двух организаций-эмитентов в стадии ликвидации.</w:t>
      </w:r>
    </w:p>
    <w:p w:rsidR="009717D3" w:rsidRPr="00FD30CD" w:rsidRDefault="00CC2B35" w:rsidP="00027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="009717D3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Давая оценку работе членам Совета директоров Общества, хотелось бы отметить, что все они при осуществлении своих прав и исполнении обязанностей действовали в интересах Общества, принимали активное участие во всех его заседаниях. Все важные вопросы рассматривались и  решались на очных заседаниях совета директоров. Все решения общего собрания акционеров и совета директоров Общества по состоянию на конец отчетного года были выполнены.</w:t>
      </w:r>
    </w:p>
    <w:p w:rsidR="009717D3" w:rsidRDefault="009717D3" w:rsidP="009717D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F23EC0"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отчетного </w:t>
      </w:r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2019 года оценка результатов деятельности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директоров общества</w:t>
      </w:r>
      <w:r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оценивается удовлетворительно.</w:t>
      </w:r>
    </w:p>
    <w:p w:rsidR="007202A6" w:rsidRDefault="007202A6" w:rsidP="007202A6">
      <w:pPr>
        <w:pStyle w:val="a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Сведения о заседаниях Совета директоров, информация о принятых решениях номера и даты составления протоколов доступны:</w:t>
      </w:r>
    </w:p>
    <w:p w:rsidR="007202A6" w:rsidRPr="00FD30CD" w:rsidRDefault="007202A6" w:rsidP="007202A6">
      <w:pPr>
        <w:pStyle w:val="a5"/>
        <w:rPr>
          <w:rFonts w:eastAsiaTheme="minorEastAsia"/>
          <w:color w:val="000000" w:themeColor="text1"/>
        </w:rPr>
      </w:pPr>
      <w:r>
        <w:t>-на сайте общества;</w:t>
      </w:r>
      <w:r w:rsidRPr="00FD30CD">
        <w:rPr>
          <w:rFonts w:eastAsiaTheme="minorEastAsia"/>
          <w:color w:val="000000" w:themeColor="text1"/>
        </w:rPr>
        <w:t xml:space="preserve"> www.factor.ru</w:t>
      </w:r>
    </w:p>
    <w:p w:rsidR="007202A6" w:rsidRDefault="007202A6" w:rsidP="007202A6">
      <w:pPr>
        <w:pStyle w:val="a5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-на </w:t>
      </w:r>
      <w:r w:rsidRPr="00FD30CD">
        <w:rPr>
          <w:rFonts w:eastAsiaTheme="minorEastAsia"/>
          <w:color w:val="000000" w:themeColor="text1"/>
        </w:rPr>
        <w:t>страниц</w:t>
      </w:r>
      <w:r>
        <w:rPr>
          <w:rFonts w:eastAsiaTheme="minorEastAsia"/>
          <w:color w:val="000000" w:themeColor="text1"/>
        </w:rPr>
        <w:t>е</w:t>
      </w:r>
      <w:r w:rsidRPr="00FD30CD">
        <w:rPr>
          <w:rFonts w:eastAsiaTheme="minorEastAsia"/>
          <w:color w:val="000000" w:themeColor="text1"/>
        </w:rPr>
        <w:t xml:space="preserve"> в сети Интернет </w:t>
      </w:r>
      <w:hyperlink r:id="rId13" w:history="1">
        <w:r w:rsidRPr="00F73E16">
          <w:rPr>
            <w:rStyle w:val="a6"/>
            <w:rFonts w:eastAsiaTheme="minorEastAsia"/>
          </w:rPr>
          <w:t>www.e-iscloure.ru/portal/company.aspx?id=23832</w:t>
        </w:r>
      </w:hyperlink>
    </w:p>
    <w:p w:rsidR="007202A6" w:rsidRPr="00FD30CD" w:rsidRDefault="007202A6" w:rsidP="009717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ar-SA"/>
        </w:rPr>
      </w:pPr>
    </w:p>
    <w:p w:rsidR="00072354" w:rsidRPr="00FD30CD" w:rsidRDefault="00571164" w:rsidP="00132A4B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934847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B1CF3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6B1CF3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формацию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выражении;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2552"/>
        <w:gridCol w:w="3118"/>
      </w:tblGrid>
      <w:tr w:rsidR="00901917" w:rsidRPr="00FD30CD" w:rsidTr="000578BF">
        <w:trPr>
          <w:trHeight w:val="6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FD30CD" w:rsidRDefault="006D1BAB" w:rsidP="009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Par5"/>
            <w:bookmarkEnd w:id="4"/>
            <w:r w:rsidRPr="00FD30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901917"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энергетических ресурсов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917" w:rsidRPr="00FD30CD" w:rsidRDefault="00901917" w:rsidP="00633134">
            <w:pPr>
              <w:pStyle w:val="a5"/>
              <w:jc w:val="center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FD30CD" w:rsidRDefault="00901917" w:rsidP="006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потребления в натуральном выражении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17" w:rsidRPr="00FD30CD" w:rsidRDefault="00901917" w:rsidP="0038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потребления в денежном выражении тыс. </w:t>
            </w:r>
            <w:r w:rsidR="00384F3A"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01917" w:rsidRPr="00FD30CD" w:rsidTr="000578BF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FD30CD" w:rsidRDefault="00901917" w:rsidP="0063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01917" w:rsidRPr="00FD30CD" w:rsidRDefault="00901917" w:rsidP="00633134">
            <w:pPr>
              <w:pStyle w:val="a5"/>
              <w:jc w:val="center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Гкал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FD30CD" w:rsidRDefault="00495BD3" w:rsidP="006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17" w:rsidRPr="00FD30CD" w:rsidRDefault="00495BD3" w:rsidP="006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</w:t>
            </w:r>
          </w:p>
        </w:tc>
      </w:tr>
      <w:tr w:rsidR="00901917" w:rsidRPr="00FD30CD" w:rsidTr="000578B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FD30CD" w:rsidRDefault="00901917" w:rsidP="0063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917" w:rsidRPr="00FD30CD" w:rsidRDefault="00CF18FC" w:rsidP="00474109">
            <w:pPr>
              <w:pStyle w:val="a5"/>
              <w:jc w:val="center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 xml:space="preserve">тыс. </w:t>
            </w:r>
            <w:r w:rsidR="00901917" w:rsidRPr="00FD30CD">
              <w:rPr>
                <w:color w:val="000000" w:themeColor="text1"/>
              </w:rPr>
              <w:t>кВт</w:t>
            </w:r>
            <w:r w:rsidRPr="00FD30CD">
              <w:rPr>
                <w:color w:val="000000" w:themeColor="text1"/>
              </w:rPr>
              <w:t>/</w:t>
            </w:r>
            <w:proofErr w:type="gramStart"/>
            <w:r w:rsidRPr="00FD30CD">
              <w:rPr>
                <w:color w:val="000000" w:themeColor="text1"/>
              </w:rPr>
              <w:t>ч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FD30CD" w:rsidRDefault="00495BD3" w:rsidP="006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17" w:rsidRPr="00FD30CD" w:rsidRDefault="00495BD3" w:rsidP="006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</w:tr>
    </w:tbl>
    <w:p w:rsidR="003A6CA7" w:rsidRPr="00FD30CD" w:rsidRDefault="003A6CA7" w:rsidP="00901917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</w:p>
    <w:p w:rsidR="00901917" w:rsidRPr="00FD30CD" w:rsidRDefault="003A6CA7" w:rsidP="00901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</w:t>
      </w:r>
      <w:r w:rsidR="00901917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энергетических ресурсов обществом  в отчетном году не использовались.</w:t>
      </w:r>
    </w:p>
    <w:p w:rsidR="00072354" w:rsidRPr="00FD30CD" w:rsidRDefault="00934847" w:rsidP="00CA4ECF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CA4ECF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Перспективы развития акционерного общества</w:t>
      </w:r>
    </w:p>
    <w:p w:rsidR="00DF5AF5" w:rsidRPr="00FD30CD" w:rsidRDefault="00DF5AF5" w:rsidP="00DF5A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5" w:name="Par6"/>
      <w:bookmarkEnd w:id="5"/>
      <w:r w:rsidRPr="00FD30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Перспективы развития акционерного общества.</w:t>
      </w:r>
    </w:p>
    <w:p w:rsidR="00DF5AF5" w:rsidRPr="00FD30CD" w:rsidRDefault="00DF5AF5" w:rsidP="00DF5A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Перспективы развития общества должны быть сформулированы в программе развития Общества. В отчетном периоде долгосрочная программа развития общества советом директоров не утверждалась в связи с нестабильной экономической ситуацией на рынке ценных бумаг. Общество не имеет непрофильных активов. Заключение аудитора о реализации долгосрочной программы не составлялось. В силу специфики основной деятельности Общество не утверждает систему ключевых показателей эффективности.</w:t>
      </w:r>
    </w:p>
    <w:p w:rsidR="00072354" w:rsidRPr="00FD30CD" w:rsidRDefault="00934847" w:rsidP="001A7B0E">
      <w:pPr>
        <w:autoSpaceDE w:val="0"/>
        <w:autoSpaceDN w:val="0"/>
        <w:adjustRightInd w:val="0"/>
        <w:spacing w:before="320"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41ABD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A7B0E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 о выплате объявленных (начисленных) дивидендов по акциям акционерного общества;</w:t>
      </w:r>
    </w:p>
    <w:p w:rsidR="0041053F" w:rsidRPr="00FD30CD" w:rsidRDefault="00934847" w:rsidP="0041053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="00B118B2"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Отчет о выплате объявленных (начисленных) дивидендов по акциям акционерного общества не составлялся, так как дивиденды по обыкновенным акциям общества </w:t>
      </w:r>
      <w:r w:rsidR="0041053F"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 итогам работы Общества  с 1995 по 2018 года решением годовых собраний акционеров Общества не объявлялись.</w:t>
      </w:r>
    </w:p>
    <w:p w:rsidR="00BD42FF" w:rsidRPr="00FD30CD" w:rsidRDefault="00DE031B" w:rsidP="007977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7977A4" w:rsidRPr="00F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BD42FF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распределении прибыли общества</w:t>
      </w:r>
      <w:r w:rsidR="007977A4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B7212" w:rsidRPr="00153977" w:rsidRDefault="00BD42FF" w:rsidP="00DB7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</w:rPr>
        <w:t xml:space="preserve">Решение </w:t>
      </w:r>
      <w:r w:rsidR="007977A4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распределении прибыли общества</w:t>
      </w:r>
      <w:r w:rsidR="007977A4" w:rsidRPr="00FD30CD">
        <w:rPr>
          <w:rFonts w:ascii="Times New Roman" w:hAnsi="Times New Roman" w:cs="Times New Roman"/>
          <w:color w:val="000000" w:themeColor="text1"/>
        </w:rPr>
        <w:t xml:space="preserve">, </w:t>
      </w:r>
      <w:r w:rsidRPr="00FD30CD">
        <w:rPr>
          <w:rFonts w:ascii="Times New Roman" w:hAnsi="Times New Roman" w:cs="Times New Roman"/>
          <w:color w:val="000000" w:themeColor="text1"/>
        </w:rPr>
        <w:t>о  выплате (не выплате)  дивидендов принимается общим собранием акционеров ПАО «Фонд Ковчег»  в соответствии с ФЗ от 26 декабря 1995 года №с 208-ФЗ « Об акционерных обществах», Уставом</w:t>
      </w:r>
      <w:r w:rsidR="00153977" w:rsidRPr="00FD30CD">
        <w:rPr>
          <w:rFonts w:ascii="Times New Roman" w:hAnsi="Times New Roman" w:cs="Times New Roman"/>
          <w:color w:val="000000" w:themeColor="text1"/>
        </w:rPr>
        <w:t xml:space="preserve"> ст. 13</w:t>
      </w:r>
      <w:r w:rsidR="00B45276" w:rsidRPr="00FD30CD">
        <w:rPr>
          <w:rFonts w:ascii="Times New Roman" w:hAnsi="Times New Roman" w:cs="Times New Roman"/>
          <w:color w:val="000000" w:themeColor="text1"/>
        </w:rPr>
        <w:t>.</w:t>
      </w:r>
      <w:r w:rsidR="007977A4" w:rsidRPr="00FD30CD">
        <w:rPr>
          <w:rFonts w:ascii="Times New Roman" w:hAnsi="Times New Roman" w:cs="Times New Roman"/>
          <w:color w:val="000000" w:themeColor="text1"/>
        </w:rPr>
        <w:t xml:space="preserve"> </w:t>
      </w:r>
      <w:r w:rsidR="00DB7212" w:rsidRPr="00FD30CD">
        <w:rPr>
          <w:rFonts w:ascii="Times New Roman" w:hAnsi="Times New Roman" w:cs="Times New Roman"/>
          <w:color w:val="000000" w:themeColor="text1"/>
        </w:rPr>
        <w:t xml:space="preserve"> </w:t>
      </w:r>
      <w:r w:rsidR="00DB7212"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Указанным решением должны быть определены размер дивидендов по акциям каждой категории (типа), форма их выплаты, порядок выплаты дивидендов в </w:t>
      </w:r>
      <w:proofErr w:type="spellStart"/>
      <w:r w:rsidR="00DB7212"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неденежной</w:t>
      </w:r>
      <w:proofErr w:type="spellEnd"/>
      <w:r w:rsidR="00DB7212"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форме, дата, на которую определяются лица, имеющие право на получение дивидендов. При этом решение в части установления даты, на которую определяются лица, имеющие право на получение дивидендов, принимается только по предложению Совета директоров общества.</w:t>
      </w:r>
      <w:r w:rsidR="00DB7212"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7212"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Размер дивидендов не может быть больше размера дивидендов, рекомендованного Советом директоров Общества.</w:t>
      </w:r>
      <w:r w:rsidR="00DB7212" w:rsidRPr="00FD3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7212"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Срок и порядок выплаты дивидендов определяются решением Общего собрания акционеров о выплате дивидендов.</w:t>
      </w:r>
    </w:p>
    <w:p w:rsidR="00DB7212" w:rsidRPr="00153977" w:rsidRDefault="00DB7212" w:rsidP="00DB7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отчетности Общества.</w:t>
      </w:r>
    </w:p>
    <w:p w:rsidR="00BD42FF" w:rsidRPr="00FD30CD" w:rsidRDefault="00DB7212" w:rsidP="00BD42FF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В связи с полученным бухгалтерским убытком в размере 2879 тыс. рублей в отчетном году </w:t>
      </w:r>
      <w:r w:rsidR="00BD42FF" w:rsidRPr="00FD30CD">
        <w:rPr>
          <w:color w:val="000000" w:themeColor="text1"/>
        </w:rPr>
        <w:t>Совет директоров рекомендовал Общему собранию акционеров (протокол №</w:t>
      </w:r>
      <w:r w:rsidR="0065399C" w:rsidRPr="00FD30CD">
        <w:rPr>
          <w:color w:val="000000" w:themeColor="text1"/>
        </w:rPr>
        <w:t>8</w:t>
      </w:r>
      <w:r w:rsidR="00BD42FF" w:rsidRPr="00FD30CD">
        <w:rPr>
          <w:color w:val="000000" w:themeColor="text1"/>
        </w:rPr>
        <w:t>-2020(</w:t>
      </w:r>
      <w:r w:rsidR="0065399C" w:rsidRPr="00FD30CD">
        <w:rPr>
          <w:color w:val="000000" w:themeColor="text1"/>
        </w:rPr>
        <w:t>156</w:t>
      </w:r>
      <w:r w:rsidR="00BD42FF" w:rsidRPr="00FD30CD">
        <w:rPr>
          <w:color w:val="000000" w:themeColor="text1"/>
        </w:rPr>
        <w:t xml:space="preserve">) от </w:t>
      </w:r>
      <w:r w:rsidR="0065399C" w:rsidRPr="00FD30CD">
        <w:rPr>
          <w:color w:val="000000" w:themeColor="text1"/>
        </w:rPr>
        <w:t>24 июля</w:t>
      </w:r>
      <w:r w:rsidR="00BD42FF" w:rsidRPr="00FD30CD">
        <w:rPr>
          <w:color w:val="000000" w:themeColor="text1"/>
        </w:rPr>
        <w:t xml:space="preserve"> 2020 г), дивиденды по обыкновенным именным акциям Общества</w:t>
      </w:r>
      <w:r w:rsidR="0065399C" w:rsidRPr="00FD30CD">
        <w:rPr>
          <w:color w:val="000000" w:themeColor="text1"/>
        </w:rPr>
        <w:t>,</w:t>
      </w:r>
      <w:r w:rsidR="00BD42FF" w:rsidRPr="00FD30CD">
        <w:rPr>
          <w:color w:val="000000" w:themeColor="text1"/>
        </w:rPr>
        <w:t>– не начислять и не выплачивать.</w:t>
      </w:r>
    </w:p>
    <w:p w:rsidR="00BD42FF" w:rsidRPr="00FD30CD" w:rsidRDefault="00BD42FF" w:rsidP="00BD42FF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Распределить по следующим статьям; 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BD42FF" w:rsidRPr="00FD30CD" w:rsidTr="00401016">
        <w:tc>
          <w:tcPr>
            <w:tcW w:w="7513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2126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D42FF" w:rsidRPr="00FD30CD" w:rsidTr="00401016">
        <w:tc>
          <w:tcPr>
            <w:tcW w:w="7513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Убыток</w:t>
            </w:r>
          </w:p>
        </w:tc>
        <w:tc>
          <w:tcPr>
            <w:tcW w:w="2126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2 879</w:t>
            </w:r>
          </w:p>
        </w:tc>
      </w:tr>
      <w:tr w:rsidR="00BD42FF" w:rsidRPr="00FD30CD" w:rsidTr="00401016">
        <w:tc>
          <w:tcPr>
            <w:tcW w:w="7513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Распределить на:</w:t>
            </w:r>
          </w:p>
        </w:tc>
        <w:tc>
          <w:tcPr>
            <w:tcW w:w="2126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2FF" w:rsidRPr="00FD30CD" w:rsidTr="00401016">
        <w:tc>
          <w:tcPr>
            <w:tcW w:w="7513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126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D42FF" w:rsidRPr="00FD30CD" w:rsidTr="00401016">
        <w:trPr>
          <w:trHeight w:val="517"/>
        </w:trPr>
        <w:tc>
          <w:tcPr>
            <w:tcW w:w="7513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Дивиденды по обыкновенным именным акциям Общества по итогам 2019 бухгалтерского (финансового) года </w:t>
            </w:r>
          </w:p>
        </w:tc>
        <w:tc>
          <w:tcPr>
            <w:tcW w:w="2126" w:type="dxa"/>
          </w:tcPr>
          <w:p w:rsidR="00BD42FF" w:rsidRPr="00FD30CD" w:rsidRDefault="00BD42FF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BD42FF" w:rsidRPr="00FD30CD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ab/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существующем этапе развития основной деятельности, дивидендная политика общества предусматривает, что вся прибыль, которая находилась  в распоряжении общества в качестве нераспределенной прибыли прошлых лет, направляется:</w:t>
      </w:r>
    </w:p>
    <w:p w:rsidR="00BD42FF" w:rsidRPr="00FD30CD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на погашение убытков отчетного года,</w:t>
      </w:r>
    </w:p>
    <w:p w:rsidR="00BD42FF" w:rsidRPr="00FD30CD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- на развитие финансовой деятельности, увеличение портфеля ценных бумаг. </w:t>
      </w:r>
    </w:p>
    <w:p w:rsidR="00BD42FF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Однако в перспективе не исключено, что общество пересмотрит дивидендную политику.</w:t>
      </w:r>
    </w:p>
    <w:p w:rsidR="00AC2C94" w:rsidRPr="00FD30CD" w:rsidRDefault="00AC2C94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72354" w:rsidRPr="00FD30CD" w:rsidRDefault="00924764" w:rsidP="00D00152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8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41ABD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D00152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 основных факторов риска, связанных с деятельностью акционерного общества;</w:t>
      </w:r>
    </w:p>
    <w:p w:rsidR="005B44BE" w:rsidRPr="00FD30CD" w:rsidRDefault="006D1BAB" w:rsidP="005B44BE">
      <w:pPr>
        <w:widowControl w:val="0"/>
        <w:autoSpaceDE w:val="0"/>
        <w:autoSpaceDN w:val="0"/>
        <w:adjustRightInd w:val="0"/>
        <w:spacing w:before="20" w:after="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Arial Narrow" w:hAnsi="Arial Narrow" w:cs="Arial Narrow"/>
          <w:bCs/>
          <w:color w:val="000000" w:themeColor="text1"/>
          <w:sz w:val="32"/>
          <w:szCs w:val="32"/>
        </w:rPr>
        <w:t xml:space="preserve">  </w:t>
      </w:r>
      <w:r w:rsidR="005B44BE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1)</w:t>
      </w:r>
      <w:r w:rsidR="00913408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5B44BE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Отраслевые риски - это риски связанные с теми отраслями, в которых эмитент осуществляет свою деятельность. Это  рынок ценных бумаг. </w:t>
      </w:r>
      <w:r w:rsidR="005B44BE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На рынке ценных бумаг  риски связаны с финансовыми кризисами, в период которых происходит падение котировок акций российских предприятий, что может привести к резкому снижению объемов торгов, снижению ликвидности  в ведущих торговых системах по акциям большинства российских эмитентов.</w:t>
      </w:r>
      <w:r w:rsidR="005B44BE" w:rsidRPr="00FD30C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5B44BE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случае негативного развития ситуации возможно сокращение активов эмитента в этой отрасли в пользу других более перспективных, с точки зрения получения прибыли, рынков в рамках действующего законодательства общества.</w:t>
      </w:r>
      <w:r w:rsidR="005B44BE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 xml:space="preserve">Влияние отраслевых рисков на деятельность общества является наиболее значительным. </w:t>
      </w:r>
      <w:bookmarkStart w:id="6" w:name="_Toc32584487"/>
    </w:p>
    <w:p w:rsidR="005B44BE" w:rsidRPr="00FD30CD" w:rsidRDefault="005B44BE" w:rsidP="005B44BE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Страновые</w:t>
      </w:r>
      <w:proofErr w:type="spellEnd"/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региональные риски</w:t>
      </w:r>
      <w:bookmarkEnd w:id="6"/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это риски связанные с политической  и экономической ситуацией в стране и регионе.</w:t>
      </w:r>
    </w:p>
    <w:p w:rsidR="005B44BE" w:rsidRPr="00FD30CD" w:rsidRDefault="005B44BE" w:rsidP="005B4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Общество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осуществляет свою основную  деятельность на территории РФ, основная деятельность  общества приносит более процентов доходов за последний завершенный отчетный год, общество зарегистрировано в качестве налогоплательщика в городе Красноярске.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Деятельность эмитента не связана каким-либо образом с климатическими и географическими особенностями местоположения, в котором общество зарегистрировано в  качестве налогоплательщика. Возможное прекращение транспортного сообщения в связи с удаленностью и труднодоступностью, оцениваются как крайне маловероятные.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Риски, связанные с возможными военными конфликтами, введением чрезвычайного положения и забастовками в стране (странах) и регионе, в которых эмитент зарегистрирован в качестве налогоплательщика и осуществляет основную деятельность, практически отсутствуют..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</w:r>
      <w:bookmarkStart w:id="7" w:name="_Toc32584488"/>
      <w:r w:rsidRPr="00FD30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3)</w:t>
      </w:r>
      <w:r w:rsidR="00913408"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Финансовые риски</w:t>
      </w:r>
      <w:bookmarkEnd w:id="7"/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данная группа рисков влияет на деятельность эмитента только через влияние на фондовый рынок и экономику РФ в целом.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5B44BE" w:rsidRPr="00FD30CD" w:rsidRDefault="005B44BE" w:rsidP="005B4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2019 году на финансово-хозяйственную деятельность повлияли следующие факторы:     общество  заключило, на биржевой площадке Московской биржи, в течение 2019г. ряд сделок по «коротким позициям с ценными бумагами», которые привели к отрицательным результатам</w:t>
      </w:r>
      <w:r w:rsidR="00121CB0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5B44BE" w:rsidRPr="00FD30CD" w:rsidRDefault="005B44BE" w:rsidP="005B44B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резкое снижение ключевой ставки ЦБ России в течени</w:t>
      </w:r>
      <w:r w:rsidR="00121CB0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2019</w:t>
      </w:r>
      <w:r w:rsidR="00CC2B35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г., что также отразилось на стоимости акций  включенных в пакет «коротких позиций с ценными бумагами» общества;</w:t>
      </w:r>
    </w:p>
    <w:p w:rsidR="00624566" w:rsidRPr="00FD30CD" w:rsidRDefault="00624566" w:rsidP="005B44B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D30CD">
        <w:rPr>
          <w:rStyle w:val="Subst"/>
          <w:rFonts w:ascii="Times New Roman" w:hAnsi="Times New Roman" w:cs="Times New Roman"/>
          <w:b w:val="0"/>
          <w:bCs/>
          <w:i w:val="0"/>
          <w:iCs/>
          <w:color w:val="000000" w:themeColor="text1"/>
          <w:sz w:val="24"/>
          <w:szCs w:val="24"/>
        </w:rPr>
        <w:t>- риски ликвидности.</w:t>
      </w:r>
    </w:p>
    <w:p w:rsidR="005B44BE" w:rsidRPr="00FD30CD" w:rsidRDefault="005B44BE" w:rsidP="005B44BE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bookmarkStart w:id="8" w:name="_Toc32584489"/>
      <w:r w:rsidRPr="00FD30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4) Правовые риски</w:t>
      </w:r>
      <w:bookmarkEnd w:id="8"/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- о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бщество строит свою деятельность на четком соблюдении норм российского законодательства, в юрисдикции которого протекает его деятельность.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 xml:space="preserve">Общество не осуществляет внешнеэкономическую деятельность. В связи с этим он оценивает для себя возможные риски негативного изменения валютного законодательства как низкие. </w:t>
      </w:r>
    </w:p>
    <w:p w:rsidR="005B44BE" w:rsidRPr="00FD30CD" w:rsidRDefault="005B44BE" w:rsidP="005B44BE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  числу    факторов  риска, как общества зарегистрированного в качестве налогоплательщика в стране (странах) и регионе, где он  осуществляет свою основную деятельность,  которые  могут  повлиять  на  деятельность  общества,  относятся: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  <w:t>-  изменение действующего законодательства в области бухгалтерского учета;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  <w:t>-  ужесточение  порядка налогообложения доходов по ценным бумагам.</w:t>
      </w:r>
    </w:p>
    <w:p w:rsidR="005B44BE" w:rsidRPr="00FD30CD" w:rsidRDefault="005B44BE" w:rsidP="005B44BE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Общество не осуществляет  деятельность, на которую напрямую оказывает влияние изменение правил таможенного контроля и пошлин. В связи с этим он оценивает для себя возможные риски негативного изменения правил таможенного контроля и пошлин как низкие.</w:t>
      </w:r>
    </w:p>
    <w:p w:rsidR="005B44BE" w:rsidRPr="00FD30CD" w:rsidRDefault="005B44BE" w:rsidP="005B44BE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результатах текущих судебных процессов, в которых участвует эмитент: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 - эти риски общество оценивает как низкие, так как в настоящее время и в будущем общество будет осуществлять свою деятельность в соответствии с законодательством</w:t>
      </w:r>
      <w:proofErr w:type="gramEnd"/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РФ.</w:t>
      </w:r>
    </w:p>
    <w:p w:rsidR="005B44BE" w:rsidRPr="00FD30CD" w:rsidRDefault="005B44BE" w:rsidP="005B44BE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 общества отсутствует требование по лицензированию основной деятельности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</w:r>
      <w:bookmarkStart w:id="9" w:name="_Toc32584490"/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5) Риск потери деловой репутации. </w:t>
      </w:r>
      <w:bookmarkEnd w:id="9"/>
    </w:p>
    <w:p w:rsidR="005B44BE" w:rsidRPr="00FD30CD" w:rsidRDefault="005B44BE" w:rsidP="005B4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всегда выполняет свои договорные обязательства перед контрагентами.  Общество старается сделать максимально прозрачными все аспекты своей деятельности.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Общество осуществляет  публикацию  сообщений по раскрытию информации  на своей странице в сети Интернет.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Риска возникновения у общества убытков в результате уменьшения числа клиентов (контрагентов) вследствие формирования негативного предоставления о финансовой устойчивости, финансовом положении эмитента, в качестве его продукции (работ</w:t>
      </w:r>
      <w:proofErr w:type="gram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услуг) или характере его деятельности в целом  не возникает.</w:t>
      </w:r>
    </w:p>
    <w:p w:rsidR="005B44BE" w:rsidRPr="00FD30CD" w:rsidRDefault="005B44BE" w:rsidP="005B44B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0" w:name="_Toc32584491"/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6)</w:t>
      </w:r>
      <w:r w:rsidR="00913408"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Стратегический риск</w:t>
      </w:r>
      <w:bookmarkEnd w:id="10"/>
    </w:p>
    <w:p w:rsidR="005B44BE" w:rsidRPr="00FD30CD" w:rsidRDefault="005B44BE" w:rsidP="005B4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основном деятельность общества связана с работой на российском рынке ценных бумаг.   Конъюнктура рынка ценных бумаг всегда отличалась трудностью прогнозирования. Деятельность общества на этом рынке сопряжена с многочисленными  рисками. Тенденции развития и состояние российского фондового рынка зависят от большого количества внешних и внутренних факторов, как экономического, так и политического характера. Это и мировой экономический рост, цены на энергоресурсы, разного рода санкции против России, курс национальной валюты, внутриполитическая и внутриэкономическая ситуация в России. Все это оказывает и будет оказывать значительное влияние на эффективность деятельности общества.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Меры по управлению рисками: общество регулярно анализирует ситуацию на рынке, где оно осуществляет свою деятельность, старается учесть все риски сопутствующие его деятельности. Ищет новые перспективные направления и инструменты, которые сейчас и в будущем могут принести доход. В случае необходимости меняет структуру вложений своих активов.</w:t>
      </w:r>
    </w:p>
    <w:p w:rsidR="005B44BE" w:rsidRPr="00FD30CD" w:rsidRDefault="005B44BE" w:rsidP="005B4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_Toc32584492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7)</w:t>
      </w:r>
      <w:r w:rsidR="00913408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Риски, связанные с деятельностью эмитента</w:t>
      </w:r>
      <w:bookmarkEnd w:id="11"/>
    </w:p>
    <w:p w:rsidR="000F583D" w:rsidRPr="00FD30CD" w:rsidRDefault="005B44BE" w:rsidP="00EB2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Риски, связанные с деятельностью эмитента,  в том числе риски, связанные с: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текущими судебными процессами, в которых участвует эмитент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отсутствием возможности продлить действие лицензии эмитента на ведение определенного вида деятельности либо на использование объектов, нахождение которых в обороте ограничено (включая природные ресурсы). </w:t>
      </w:r>
    </w:p>
    <w:p w:rsidR="00310004" w:rsidRPr="00FD30CD" w:rsidRDefault="005B44BE" w:rsidP="00EB2C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Текущая деятельность общества не нуждается в лицензировании: вид риска отсутствует;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возможной ответственностью эмитента по долгам третьих лиц, в том числе дочерних обществ эмитента;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возможностью потери потребителей, на оборот с которыми приходится не менее чем 10 процентов общей выручки от продажи продукции (работ, услуг) эмитента: общество оценивает этот вид риска на данный момент как низкий.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D1BAB"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="00913408"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   </w:t>
      </w:r>
    </w:p>
    <w:p w:rsidR="00072354" w:rsidRPr="00FD30CD" w:rsidRDefault="00310004" w:rsidP="00EB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924764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72354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13408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72354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совершенных акционерным обществом в отчетном году сделок, признаваемых в соответствии с Федеральным </w:t>
      </w:r>
      <w:hyperlink r:id="rId14" w:history="1">
        <w:r w:rsidR="00072354" w:rsidRPr="00FD30C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законом</w:t>
        </w:r>
      </w:hyperlink>
      <w:r w:rsidR="00072354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"Об акционерных обществах"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</w:t>
      </w:r>
      <w:r w:rsidR="00072354" w:rsidRPr="00FD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072354" w:rsidRPr="00FD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годовом отчете акционерного общества вместо указанного перечня может содержаться ссылка на документ, содержащий перечень совершенных акционерным обществом в отчетном году крупных сделок, с указанием его наименования и адреса страницы в сети Интернет, на которой он раскрыт, а также, при наличии, номера и даты его подписания, отчетного периода, за который он составлен</w:t>
      </w:r>
      <w:r w:rsidR="00072354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proofErr w:type="gramEnd"/>
    </w:p>
    <w:p w:rsidR="00072354" w:rsidRPr="00FD30CD" w:rsidRDefault="00072354" w:rsidP="00AD0AE6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(в ред. </w:t>
      </w:r>
      <w:hyperlink r:id="rId15" w:history="1">
        <w:r w:rsidRPr="00FD30CD">
          <w:rPr>
            <w:color w:val="000000" w:themeColor="text1"/>
          </w:rPr>
          <w:t>Указания</w:t>
        </w:r>
      </w:hyperlink>
      <w:r w:rsidRPr="00FD30CD">
        <w:rPr>
          <w:color w:val="000000" w:themeColor="text1"/>
        </w:rPr>
        <w:t xml:space="preserve"> Банка России от 27.09.2017 N 4542-У)</w:t>
      </w:r>
    </w:p>
    <w:p w:rsidR="00EA6E7D" w:rsidRPr="00FD30CD" w:rsidRDefault="006D1BAB" w:rsidP="00AD0AE6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lastRenderedPageBreak/>
        <w:t xml:space="preserve">  </w:t>
      </w:r>
      <w:r w:rsidR="00ED2CD9" w:rsidRPr="00FD30CD">
        <w:rPr>
          <w:color w:val="000000" w:themeColor="text1"/>
        </w:rPr>
        <w:t xml:space="preserve">   </w:t>
      </w:r>
      <w:r w:rsidR="00EA6E7D" w:rsidRPr="00FD30CD">
        <w:rPr>
          <w:color w:val="000000" w:themeColor="text1"/>
        </w:rPr>
        <w:t xml:space="preserve">Совершенных обществом в отчетном </w:t>
      </w:r>
      <w:r w:rsidR="002A6285" w:rsidRPr="00FD30CD">
        <w:rPr>
          <w:color w:val="000000" w:themeColor="text1"/>
        </w:rPr>
        <w:t xml:space="preserve">2019 </w:t>
      </w:r>
      <w:r w:rsidR="00EA6E7D" w:rsidRPr="00FD30CD">
        <w:rPr>
          <w:color w:val="000000" w:themeColor="text1"/>
        </w:rPr>
        <w:t xml:space="preserve">году сделок, признаваемых в соответствии с ФЗ "Об акционерных обществах" крупными сделками, с указанием по каждой сделке ее существенных условий и </w:t>
      </w:r>
      <w:proofErr w:type="gramStart"/>
      <w:r w:rsidR="00EA6E7D" w:rsidRPr="00FD30CD">
        <w:rPr>
          <w:color w:val="000000" w:themeColor="text1"/>
        </w:rPr>
        <w:t>органа управления акционерного общества, принявшего решение о согласии на ее совершение или ее последующем одобрении не совершалось</w:t>
      </w:r>
      <w:proofErr w:type="gramEnd"/>
      <w:r w:rsidR="00EA6E7D" w:rsidRPr="00FD30CD">
        <w:rPr>
          <w:color w:val="000000" w:themeColor="text1"/>
        </w:rPr>
        <w:t>.</w:t>
      </w:r>
    </w:p>
    <w:p w:rsidR="006728A1" w:rsidRPr="00FD30CD" w:rsidRDefault="00ED2CD9" w:rsidP="00AD0AE6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r w:rsidR="002A6285" w:rsidRPr="00FD30CD">
        <w:rPr>
          <w:color w:val="000000" w:themeColor="text1"/>
        </w:rPr>
        <w:t>С</w:t>
      </w:r>
      <w:r w:rsidR="00930D7B" w:rsidRPr="00FD30CD">
        <w:rPr>
          <w:color w:val="000000" w:themeColor="text1"/>
        </w:rPr>
        <w:t xml:space="preserve">ообщение о сделках в отчетном </w:t>
      </w:r>
      <w:r w:rsidR="002A6285" w:rsidRPr="00FD30CD">
        <w:rPr>
          <w:color w:val="000000" w:themeColor="text1"/>
        </w:rPr>
        <w:t xml:space="preserve">2019 </w:t>
      </w:r>
      <w:r w:rsidR="00930D7B" w:rsidRPr="00FD30CD">
        <w:rPr>
          <w:color w:val="000000" w:themeColor="text1"/>
        </w:rPr>
        <w:t xml:space="preserve">году </w:t>
      </w:r>
      <w:r w:rsidR="00654334" w:rsidRPr="00FD30CD">
        <w:rPr>
          <w:color w:val="000000" w:themeColor="text1"/>
        </w:rPr>
        <w:t>публикуется</w:t>
      </w:r>
      <w:r w:rsidR="00B87C40" w:rsidRPr="00FD30CD">
        <w:rPr>
          <w:color w:val="000000" w:themeColor="text1"/>
        </w:rPr>
        <w:t xml:space="preserve"> обществом</w:t>
      </w:r>
      <w:r w:rsidR="00930D7B" w:rsidRPr="00FD30CD">
        <w:rPr>
          <w:color w:val="000000" w:themeColor="text1"/>
        </w:rPr>
        <w:t xml:space="preserve"> на </w:t>
      </w:r>
      <w:r w:rsidR="006728A1" w:rsidRPr="00FD30CD">
        <w:rPr>
          <w:rFonts w:eastAsiaTheme="minorEastAsia"/>
          <w:color w:val="000000" w:themeColor="text1"/>
        </w:rPr>
        <w:t>странице  в сети Интернет, на которой доступна информация об эмитенте, выпущенных и/или выпускаемых им ценных бумагах: www.e-iscloure.ru/</w:t>
      </w:r>
      <w:proofErr w:type="spellStart"/>
      <w:r w:rsidR="006728A1" w:rsidRPr="00FD30CD">
        <w:rPr>
          <w:rFonts w:eastAsiaTheme="minorEastAsia"/>
          <w:color w:val="000000" w:themeColor="text1"/>
        </w:rPr>
        <w:t>portal</w:t>
      </w:r>
      <w:proofErr w:type="spellEnd"/>
      <w:r w:rsidR="006728A1" w:rsidRPr="00FD30CD">
        <w:rPr>
          <w:rFonts w:eastAsiaTheme="minorEastAsia"/>
          <w:color w:val="000000" w:themeColor="text1"/>
        </w:rPr>
        <w:t>/</w:t>
      </w:r>
      <w:proofErr w:type="spellStart"/>
      <w:r w:rsidR="006728A1" w:rsidRPr="00FD30CD">
        <w:rPr>
          <w:rFonts w:eastAsiaTheme="minorEastAsia"/>
          <w:color w:val="000000" w:themeColor="text1"/>
        </w:rPr>
        <w:t>company.aspx?id</w:t>
      </w:r>
      <w:proofErr w:type="spellEnd"/>
      <w:r w:rsidR="006728A1" w:rsidRPr="00FD30CD">
        <w:rPr>
          <w:rFonts w:eastAsiaTheme="minorEastAsia"/>
          <w:color w:val="000000" w:themeColor="text1"/>
        </w:rPr>
        <w:t>=23832, www.factor.ru</w:t>
      </w:r>
    </w:p>
    <w:p w:rsidR="00596122" w:rsidRPr="00FD30CD" w:rsidRDefault="006D1BAB" w:rsidP="00FC7A6D">
      <w:pPr>
        <w:pStyle w:val="a5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="00FC7A6D"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 </w:t>
      </w:r>
      <w:r w:rsidR="00310004"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  </w:t>
      </w:r>
      <w:r w:rsidR="00FC7A6D"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</w:p>
    <w:p w:rsidR="00072354" w:rsidRPr="00FD30CD" w:rsidRDefault="00596122" w:rsidP="00FC7A6D">
      <w:pPr>
        <w:pStyle w:val="a5"/>
        <w:rPr>
          <w:b/>
          <w:color w:val="000000" w:themeColor="text1"/>
          <w:sz w:val="28"/>
          <w:szCs w:val="28"/>
        </w:rPr>
      </w:pPr>
      <w:r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  </w:t>
      </w:r>
      <w:r w:rsidR="00476B0A" w:rsidRPr="00FD30CD">
        <w:rPr>
          <w:rFonts w:ascii="Arial Narrow" w:hAnsi="Arial Narrow" w:cs="Arial Narrow"/>
          <w:color w:val="000000" w:themeColor="text1"/>
          <w:sz w:val="28"/>
          <w:szCs w:val="28"/>
        </w:rPr>
        <w:t xml:space="preserve">  </w:t>
      </w:r>
      <w:r w:rsidR="00924764" w:rsidRPr="00FD30CD">
        <w:rPr>
          <w:b/>
          <w:color w:val="000000" w:themeColor="text1"/>
          <w:sz w:val="28"/>
          <w:szCs w:val="28"/>
        </w:rPr>
        <w:t>10</w:t>
      </w:r>
      <w:r w:rsidR="00072354" w:rsidRPr="00FD30CD">
        <w:rPr>
          <w:b/>
          <w:color w:val="000000" w:themeColor="text1"/>
          <w:sz w:val="28"/>
          <w:szCs w:val="28"/>
        </w:rPr>
        <w:t>.</w:t>
      </w:r>
      <w:r w:rsidR="00476B0A" w:rsidRPr="00FD30CD">
        <w:rPr>
          <w:b/>
          <w:color w:val="000000" w:themeColor="text1"/>
          <w:sz w:val="28"/>
          <w:szCs w:val="28"/>
        </w:rPr>
        <w:t xml:space="preserve"> </w:t>
      </w:r>
      <w:r w:rsidR="00797FC2" w:rsidRPr="00FD30C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072354" w:rsidRPr="00FD30CD">
        <w:rPr>
          <w:b/>
          <w:color w:val="000000" w:themeColor="text1"/>
          <w:sz w:val="28"/>
          <w:szCs w:val="28"/>
        </w:rPr>
        <w:t xml:space="preserve">Перечень совершенных акционерным обществом в отчетном году сделок, признаваемых в соответствии с Федеральным </w:t>
      </w:r>
      <w:hyperlink r:id="rId16" w:history="1">
        <w:r w:rsidR="00072354" w:rsidRPr="00FD30CD">
          <w:rPr>
            <w:b/>
            <w:color w:val="000000" w:themeColor="text1"/>
            <w:sz w:val="28"/>
            <w:szCs w:val="28"/>
          </w:rPr>
          <w:t>законом</w:t>
        </w:r>
      </w:hyperlink>
      <w:r w:rsidR="00072354" w:rsidRPr="00FD30CD">
        <w:rPr>
          <w:b/>
          <w:color w:val="000000" w:themeColor="text1"/>
          <w:sz w:val="28"/>
          <w:szCs w:val="28"/>
        </w:rPr>
        <w:t xml:space="preserve"> "Об акционерных обществах"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акционерного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</w:t>
      </w:r>
      <w:proofErr w:type="gramEnd"/>
      <w:r w:rsidR="00072354" w:rsidRPr="00FD30CD">
        <w:rPr>
          <w:b/>
          <w:color w:val="000000" w:themeColor="text1"/>
          <w:sz w:val="28"/>
          <w:szCs w:val="28"/>
        </w:rPr>
        <w:t xml:space="preserve"> сделок), размер которой (которых) составлял два или более процента балансовой стоимости активов акционерного общества, - также с указанием основания (оснований), по которому (по </w:t>
      </w:r>
      <w:proofErr w:type="gramStart"/>
      <w:r w:rsidR="00072354" w:rsidRPr="00FD30CD">
        <w:rPr>
          <w:b/>
          <w:color w:val="000000" w:themeColor="text1"/>
          <w:sz w:val="28"/>
          <w:szCs w:val="28"/>
        </w:rPr>
        <w:t xml:space="preserve">которым) </w:t>
      </w:r>
      <w:proofErr w:type="gramEnd"/>
      <w:r w:rsidR="00072354" w:rsidRPr="00FD30CD">
        <w:rPr>
          <w:b/>
          <w:color w:val="000000" w:themeColor="text1"/>
          <w:sz w:val="28"/>
          <w:szCs w:val="28"/>
        </w:rPr>
        <w:t xml:space="preserve">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(складочном) капитале (доли принадлежавших заинтересованному лицу (заинтересованным лицам) акций) акционерного общества и юридического лица, являвшегося стороной в сделке, на дату совершения сделки. </w:t>
      </w:r>
      <w:proofErr w:type="gramStart"/>
      <w:r w:rsidR="00072354" w:rsidRPr="00FD30CD">
        <w:rPr>
          <w:color w:val="000000" w:themeColor="text1"/>
        </w:rPr>
        <w:t>В годовом отчете акционерного общества вместо указанного перечня может содержаться ссылка на документ, содержащий перечень совершенных акционерным обществом в отчетном году сделок, в совершении которых имелась заинтересованность, с указанием его наименования и адреса страницы в сети Интернет, на которой он раскрыт, а также, при наличии, номера и даты его подписания, отчетного периода, за который он составлен;</w:t>
      </w:r>
      <w:proofErr w:type="gramEnd"/>
    </w:p>
    <w:p w:rsidR="0077533D" w:rsidRPr="00FD30CD" w:rsidRDefault="00072354" w:rsidP="00FC7A6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(в ред. </w:t>
      </w:r>
      <w:hyperlink r:id="rId17" w:history="1">
        <w:r w:rsidRPr="00FD30CD">
          <w:rPr>
            <w:color w:val="000000" w:themeColor="text1"/>
          </w:rPr>
          <w:t>Указания</w:t>
        </w:r>
      </w:hyperlink>
      <w:r w:rsidRPr="00FD30CD">
        <w:rPr>
          <w:color w:val="000000" w:themeColor="text1"/>
        </w:rPr>
        <w:t xml:space="preserve"> Банка России от 27.09.2017 N 4542-У)</w:t>
      </w:r>
      <w:r w:rsidR="0077533D" w:rsidRPr="00FD30CD">
        <w:rPr>
          <w:color w:val="000000" w:themeColor="text1"/>
        </w:rPr>
        <w:t xml:space="preserve"> </w:t>
      </w:r>
    </w:p>
    <w:p w:rsidR="000E4BC0" w:rsidRPr="00FD30CD" w:rsidRDefault="000E4BC0" w:rsidP="00FC7A6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</w:t>
      </w:r>
      <w:proofErr w:type="gramStart"/>
      <w:r w:rsidRPr="00FD30CD">
        <w:rPr>
          <w:color w:val="000000" w:themeColor="text1"/>
        </w:rPr>
        <w:t>Совершенных обществом в отчетном</w:t>
      </w:r>
      <w:r w:rsidR="00CD3FA3" w:rsidRPr="00FD30CD">
        <w:rPr>
          <w:color w:val="000000" w:themeColor="text1"/>
        </w:rPr>
        <w:t xml:space="preserve"> 2019</w:t>
      </w:r>
      <w:r w:rsidRPr="00FD30CD">
        <w:rPr>
          <w:color w:val="000000" w:themeColor="text1"/>
        </w:rPr>
        <w:t xml:space="preserve"> году сделок, признаваемых в соответствии с Федеральным </w:t>
      </w:r>
      <w:hyperlink r:id="rId18" w:history="1">
        <w:r w:rsidRPr="00FD30CD">
          <w:rPr>
            <w:color w:val="000000" w:themeColor="text1"/>
          </w:rPr>
          <w:t>законом</w:t>
        </w:r>
      </w:hyperlink>
      <w:r w:rsidRPr="00FD30CD">
        <w:rPr>
          <w:color w:val="000000" w:themeColor="text1"/>
        </w:rPr>
        <w:t xml:space="preserve"> "Об акционерных обществах"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акционерного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 сделок</w:t>
      </w:r>
      <w:proofErr w:type="gramEnd"/>
      <w:r w:rsidRPr="00FD30CD">
        <w:rPr>
          <w:color w:val="000000" w:themeColor="text1"/>
        </w:rPr>
        <w:t xml:space="preserve">), размер которой (которых) составлял два или более процента балансовой стоимости активов акционерного общества, - также с указанием основания (оснований), по которому (по </w:t>
      </w:r>
      <w:proofErr w:type="gramStart"/>
      <w:r w:rsidRPr="00FD30CD">
        <w:rPr>
          <w:color w:val="000000" w:themeColor="text1"/>
        </w:rPr>
        <w:t xml:space="preserve">которым) </w:t>
      </w:r>
      <w:proofErr w:type="gramEnd"/>
      <w:r w:rsidRPr="00FD30CD">
        <w:rPr>
          <w:color w:val="000000" w:themeColor="text1"/>
        </w:rPr>
        <w:t xml:space="preserve">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капитале (доли принадлежавших заинтересованному лицу (заинтересованным лицам) акций) акционерного общества и юридического лица, являвшегося стороной в сделке, на дату совершения сделки </w:t>
      </w:r>
      <w:r w:rsidR="00F54E1D" w:rsidRPr="00FD30CD">
        <w:rPr>
          <w:color w:val="000000" w:themeColor="text1"/>
        </w:rPr>
        <w:t>-</w:t>
      </w:r>
      <w:r w:rsidRPr="00FD30CD">
        <w:rPr>
          <w:color w:val="000000" w:themeColor="text1"/>
        </w:rPr>
        <w:t xml:space="preserve"> не совершалось.</w:t>
      </w:r>
    </w:p>
    <w:p w:rsidR="006728A1" w:rsidRPr="00FD30CD" w:rsidRDefault="00CD3FA3" w:rsidP="00FC7A6D">
      <w:pPr>
        <w:pStyle w:val="a5"/>
        <w:rPr>
          <w:rFonts w:eastAsiaTheme="minorEastAsia"/>
          <w:color w:val="000000" w:themeColor="text1"/>
        </w:rPr>
      </w:pPr>
      <w:bookmarkStart w:id="12" w:name="Par12"/>
      <w:bookmarkEnd w:id="12"/>
      <w:r w:rsidRPr="00FD30CD">
        <w:rPr>
          <w:snapToGrid w:val="0"/>
          <w:color w:val="000000" w:themeColor="text1"/>
        </w:rPr>
        <w:t>С</w:t>
      </w:r>
      <w:r w:rsidR="00B84966" w:rsidRPr="00FD30CD">
        <w:rPr>
          <w:snapToGrid w:val="0"/>
          <w:color w:val="000000" w:themeColor="text1"/>
        </w:rPr>
        <w:t xml:space="preserve">ообщение о сделках в отчетном году </w:t>
      </w:r>
      <w:r w:rsidR="00F54E1D" w:rsidRPr="00FD30CD">
        <w:rPr>
          <w:snapToGrid w:val="0"/>
          <w:color w:val="000000" w:themeColor="text1"/>
        </w:rPr>
        <w:t>публикуется обществом</w:t>
      </w:r>
      <w:r w:rsidR="00B84966" w:rsidRPr="00FD30CD">
        <w:rPr>
          <w:snapToGrid w:val="0"/>
          <w:color w:val="000000" w:themeColor="text1"/>
        </w:rPr>
        <w:t xml:space="preserve"> </w:t>
      </w:r>
      <w:r w:rsidR="007B433B" w:rsidRPr="00FD30CD">
        <w:rPr>
          <w:rFonts w:eastAsiaTheme="minorEastAsia"/>
          <w:color w:val="000000" w:themeColor="text1"/>
        </w:rPr>
        <w:t xml:space="preserve">на </w:t>
      </w:r>
      <w:r w:rsidR="006728A1" w:rsidRPr="00FD30CD">
        <w:rPr>
          <w:rFonts w:eastAsiaTheme="minorEastAsia"/>
          <w:color w:val="000000" w:themeColor="text1"/>
        </w:rPr>
        <w:t>странице в сети Интернет, на которой доступна информация об эмитенте, выпущенных и/или выпускаемых им ценных бумагах: www.e-iscloure.ru/</w:t>
      </w:r>
      <w:proofErr w:type="spellStart"/>
      <w:r w:rsidR="006728A1" w:rsidRPr="00FD30CD">
        <w:rPr>
          <w:rFonts w:eastAsiaTheme="minorEastAsia"/>
          <w:color w:val="000000" w:themeColor="text1"/>
        </w:rPr>
        <w:t>portal</w:t>
      </w:r>
      <w:proofErr w:type="spellEnd"/>
      <w:r w:rsidR="006728A1" w:rsidRPr="00FD30CD">
        <w:rPr>
          <w:rFonts w:eastAsiaTheme="minorEastAsia"/>
          <w:color w:val="000000" w:themeColor="text1"/>
        </w:rPr>
        <w:t>/</w:t>
      </w:r>
      <w:proofErr w:type="spellStart"/>
      <w:r w:rsidR="006728A1" w:rsidRPr="00FD30CD">
        <w:rPr>
          <w:rFonts w:eastAsiaTheme="minorEastAsia"/>
          <w:color w:val="000000" w:themeColor="text1"/>
        </w:rPr>
        <w:t>company.aspx?id</w:t>
      </w:r>
      <w:proofErr w:type="spellEnd"/>
      <w:r w:rsidR="006728A1" w:rsidRPr="00FD30CD">
        <w:rPr>
          <w:rFonts w:eastAsiaTheme="minorEastAsia"/>
          <w:color w:val="000000" w:themeColor="text1"/>
        </w:rPr>
        <w:t>=23832, www.factor.ru</w:t>
      </w:r>
    </w:p>
    <w:p w:rsidR="003A0468" w:rsidRPr="00FD30CD" w:rsidRDefault="00CB034E" w:rsidP="00CB034E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</w:t>
      </w:r>
    </w:p>
    <w:p w:rsidR="00072354" w:rsidRPr="00FD30CD" w:rsidRDefault="003A0468" w:rsidP="00CB034E">
      <w:pPr>
        <w:pStyle w:val="a5"/>
        <w:rPr>
          <w:b/>
          <w:color w:val="000000" w:themeColor="text1"/>
          <w:sz w:val="28"/>
          <w:szCs w:val="28"/>
        </w:rPr>
      </w:pPr>
      <w:r w:rsidRPr="00FD30CD">
        <w:rPr>
          <w:color w:val="000000" w:themeColor="text1"/>
        </w:rPr>
        <w:t xml:space="preserve">     </w:t>
      </w:r>
      <w:r w:rsidR="00072354" w:rsidRPr="00FD30CD">
        <w:rPr>
          <w:b/>
          <w:color w:val="000000" w:themeColor="text1"/>
          <w:sz w:val="28"/>
          <w:szCs w:val="28"/>
        </w:rPr>
        <w:t>1</w:t>
      </w:r>
      <w:r w:rsidR="00924764" w:rsidRPr="00FD30CD">
        <w:rPr>
          <w:b/>
          <w:color w:val="000000" w:themeColor="text1"/>
          <w:sz w:val="28"/>
          <w:szCs w:val="28"/>
        </w:rPr>
        <w:t>1</w:t>
      </w:r>
      <w:r w:rsidR="00072354" w:rsidRPr="00FD30CD">
        <w:rPr>
          <w:b/>
          <w:color w:val="000000" w:themeColor="text1"/>
          <w:sz w:val="28"/>
          <w:szCs w:val="28"/>
        </w:rPr>
        <w:t>.</w:t>
      </w:r>
      <w:r w:rsidRPr="00FD30CD">
        <w:rPr>
          <w:b/>
          <w:color w:val="000000" w:themeColor="text1"/>
          <w:sz w:val="28"/>
          <w:szCs w:val="28"/>
        </w:rPr>
        <w:t xml:space="preserve">  </w:t>
      </w:r>
      <w:proofErr w:type="gramStart"/>
      <w:r w:rsidR="00072354" w:rsidRPr="00FD30CD">
        <w:rPr>
          <w:b/>
          <w:color w:val="000000" w:themeColor="text1"/>
          <w:sz w:val="28"/>
          <w:szCs w:val="28"/>
        </w:rPr>
        <w:t xml:space="preserve">Состав совета директоров акционерного общества, включая информацию об изменениях в составе совета директоров акционерного </w:t>
      </w:r>
      <w:r w:rsidR="00072354" w:rsidRPr="00FD30CD">
        <w:rPr>
          <w:b/>
          <w:color w:val="000000" w:themeColor="text1"/>
          <w:sz w:val="28"/>
          <w:szCs w:val="28"/>
        </w:rPr>
        <w:lastRenderedPageBreak/>
        <w:t>общества, имевших место в отчетном году, и сведения о членах совета директоров акционерного общества, в том числе их краткие биографические данные (год рождения, сведения об образовании, сведения об основном месте работы), доля их участия в уставном капитале акционерного общества и доля принадлежащих им обыкновенных акций акционерного</w:t>
      </w:r>
      <w:proofErr w:type="gramEnd"/>
      <w:r w:rsidR="00072354" w:rsidRPr="00FD30CD">
        <w:rPr>
          <w:b/>
          <w:color w:val="000000" w:themeColor="text1"/>
          <w:sz w:val="28"/>
          <w:szCs w:val="28"/>
        </w:rPr>
        <w:t xml:space="preserve"> общества, а в случае, если в течение отчетного года имели место совершенные членами совета директоров сделки по приобретению или отчуждению акций акционерного общества, также сведения о таких сделках с указанием по каждой сделке даты ее совершения, содержания сделки, категорий (типов) и количества акций акционерного общества, являвшихся предметом сделки;</w:t>
      </w:r>
    </w:p>
    <w:p w:rsidR="009A1129" w:rsidRPr="00FD30CD" w:rsidRDefault="00F62AFB" w:rsidP="00CB034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Совет директоров Общества избран Общим собранием акционеров в количестве 9</w:t>
      </w:r>
      <w:r w:rsidR="009A1129" w:rsidRPr="00FD30CD">
        <w:rPr>
          <w:rFonts w:eastAsiaTheme="minorEastAsia"/>
          <w:color w:val="000000" w:themeColor="text1"/>
        </w:rPr>
        <w:t xml:space="preserve"> человек</w:t>
      </w:r>
      <w:r w:rsidRPr="00FD30CD">
        <w:rPr>
          <w:rFonts w:eastAsiaTheme="minorEastAsia"/>
          <w:color w:val="000000" w:themeColor="text1"/>
        </w:rPr>
        <w:t xml:space="preserve"> </w:t>
      </w:r>
    </w:p>
    <w:p w:rsidR="00B24771" w:rsidRPr="00FD30CD" w:rsidRDefault="00F62AFB" w:rsidP="00CB034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(протокол общего собрания акционеров  составлен от 22 мая 2019 года)</w:t>
      </w:r>
      <w:r w:rsidRPr="00FD30CD">
        <w:rPr>
          <w:rFonts w:eastAsiaTheme="minorEastAsia"/>
          <w:color w:val="000000" w:themeColor="text1"/>
        </w:rPr>
        <w:br/>
        <w:t xml:space="preserve">Состав совета  директоров </w:t>
      </w:r>
      <w:r w:rsidRPr="00FD30CD">
        <w:rPr>
          <w:color w:val="000000" w:themeColor="text1"/>
        </w:rPr>
        <w:t xml:space="preserve">в отчетном </w:t>
      </w:r>
      <w:r w:rsidR="00160385" w:rsidRPr="00FD30CD">
        <w:rPr>
          <w:color w:val="000000" w:themeColor="text1"/>
        </w:rPr>
        <w:t xml:space="preserve">2019 </w:t>
      </w:r>
      <w:r w:rsidRPr="00FD30CD">
        <w:rPr>
          <w:color w:val="000000" w:themeColor="text1"/>
        </w:rPr>
        <w:t>году,</w:t>
      </w:r>
      <w:r w:rsidR="00B24771" w:rsidRPr="00FD30CD">
        <w:rPr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оста</w:t>
      </w:r>
      <w:r w:rsidR="009A1129" w:rsidRPr="00FD30CD">
        <w:rPr>
          <w:rFonts w:eastAsiaTheme="minorEastAsia"/>
          <w:color w:val="000000" w:themeColor="text1"/>
        </w:rPr>
        <w:t>ва</w:t>
      </w:r>
      <w:r w:rsidRPr="00FD30CD">
        <w:rPr>
          <w:rFonts w:eastAsiaTheme="minorEastAsia"/>
          <w:color w:val="000000" w:themeColor="text1"/>
        </w:rPr>
        <w:t xml:space="preserve">лся прежним. </w:t>
      </w:r>
    </w:p>
    <w:p w:rsidR="00F62AFB" w:rsidRPr="00FD30CD" w:rsidRDefault="00F62AFB" w:rsidP="00CB034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Совещательных органов и комитетов   при совете директоров</w:t>
      </w:r>
      <w:r w:rsidR="00B24771" w:rsidRPr="00FD30CD">
        <w:rPr>
          <w:color w:val="000000" w:themeColor="text1"/>
        </w:rPr>
        <w:t xml:space="preserve"> в отчетном году</w:t>
      </w:r>
      <w:r w:rsidRPr="00FD30CD">
        <w:rPr>
          <w:rFonts w:eastAsiaTheme="minorEastAsia"/>
          <w:color w:val="000000" w:themeColor="text1"/>
        </w:rPr>
        <w:t xml:space="preserve"> не создавалось.</w:t>
      </w:r>
    </w:p>
    <w:p w:rsidR="00542EA9" w:rsidRPr="00FD30CD" w:rsidRDefault="00335DE2" w:rsidP="00542EA9">
      <w:pPr>
        <w:pStyle w:val="a5"/>
        <w:rPr>
          <w:color w:val="000000" w:themeColor="text1"/>
        </w:rPr>
      </w:pPr>
      <w:r w:rsidRPr="00FD30CD">
        <w:rPr>
          <w:b/>
          <w:color w:val="000000" w:themeColor="text1"/>
        </w:rPr>
        <w:t xml:space="preserve">   </w:t>
      </w:r>
      <w:r w:rsidR="00542EA9" w:rsidRPr="00FD30CD">
        <w:rPr>
          <w:color w:val="000000" w:themeColor="text1"/>
        </w:rPr>
        <w:t xml:space="preserve">В течение отчетного </w:t>
      </w:r>
      <w:r w:rsidR="00DF610B" w:rsidRPr="00FD30CD">
        <w:rPr>
          <w:color w:val="000000" w:themeColor="text1"/>
        </w:rPr>
        <w:t xml:space="preserve">2019 </w:t>
      </w:r>
      <w:r w:rsidR="00542EA9" w:rsidRPr="00FD30CD">
        <w:rPr>
          <w:color w:val="000000" w:themeColor="text1"/>
        </w:rPr>
        <w:t>года не имели место совершенные членами совета директоров сделки по приобретению или отчуждению акций акционерного общества</w:t>
      </w:r>
    </w:p>
    <w:p w:rsidR="00F62AFB" w:rsidRPr="00FD30CD" w:rsidRDefault="00335DE2" w:rsidP="00CB034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F62AFB" w:rsidRPr="00FD30CD">
        <w:rPr>
          <w:rFonts w:eastAsiaTheme="minorEastAsia"/>
          <w:color w:val="000000" w:themeColor="text1"/>
        </w:rPr>
        <w:t>Состав совета директоров</w:t>
      </w:r>
      <w:r w:rsidR="00F62AFB" w:rsidRPr="00FD30CD">
        <w:rPr>
          <w:color w:val="000000" w:themeColor="text1"/>
        </w:rPr>
        <w:t xml:space="preserve"> и сведения о членах совета директоров акционерного общества</w:t>
      </w:r>
      <w:r w:rsidR="00B24771" w:rsidRPr="00FD30CD">
        <w:rPr>
          <w:color w:val="000000" w:themeColor="text1"/>
        </w:rPr>
        <w:t>;</w:t>
      </w:r>
      <w:r w:rsidR="00F62AFB" w:rsidRPr="00FD30CD">
        <w:rPr>
          <w:rFonts w:eastAsiaTheme="minorEastAsia"/>
          <w:color w:val="000000" w:themeColor="text1"/>
        </w:rPr>
        <w:t xml:space="preserve"> </w:t>
      </w:r>
    </w:p>
    <w:p w:rsidR="00F62AFB" w:rsidRPr="00FD30CD" w:rsidRDefault="00F62AFB" w:rsidP="004A40E9">
      <w:pPr>
        <w:pStyle w:val="a5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Колбасник Игорь Иосифович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Год рождения: 1977</w:t>
      </w:r>
      <w:r w:rsidR="002B61CB" w:rsidRPr="00FD30CD">
        <w:rPr>
          <w:rFonts w:eastAsiaTheme="minorEastAsia"/>
          <w:color w:val="000000" w:themeColor="text1"/>
        </w:rPr>
        <w:t>,</w:t>
      </w:r>
      <w:r w:rsidR="00B24771" w:rsidRPr="00FD30CD">
        <w:rPr>
          <w:rFonts w:eastAsiaTheme="minorEastAsia"/>
          <w:color w:val="000000" w:themeColor="text1"/>
        </w:rPr>
        <w:t xml:space="preserve">  </w:t>
      </w:r>
      <w:r w:rsidR="002B61CB" w:rsidRPr="00FD30CD">
        <w:rPr>
          <w:rFonts w:eastAsiaTheme="minorEastAsia"/>
          <w:color w:val="000000" w:themeColor="text1"/>
        </w:rPr>
        <w:t>о</w:t>
      </w:r>
      <w:r w:rsidRPr="00FD30CD">
        <w:rPr>
          <w:rFonts w:eastAsiaTheme="minorEastAsia"/>
          <w:color w:val="000000" w:themeColor="text1"/>
        </w:rPr>
        <w:t>бразование:</w:t>
      </w:r>
      <w:r w:rsidR="00B24771" w:rsidRPr="00FD30CD">
        <w:rPr>
          <w:rFonts w:eastAsiaTheme="minorEastAsia"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Сибирский Государственный Технологический Университет,</w:t>
      </w:r>
      <w:r w:rsidR="00B24771" w:rsidRPr="00FD30CD">
        <w:rPr>
          <w:rFonts w:eastAsiaTheme="minorEastAsia"/>
          <w:color w:val="000000" w:themeColor="text1"/>
        </w:rPr>
        <w:t xml:space="preserve"> </w:t>
      </w:r>
      <w:proofErr w:type="gramStart"/>
      <w:r w:rsidRPr="00FD30CD">
        <w:rPr>
          <w:rFonts w:eastAsiaTheme="minorEastAsia"/>
          <w:color w:val="000000" w:themeColor="text1"/>
        </w:rPr>
        <w:t>высшее</w:t>
      </w:r>
      <w:proofErr w:type="gramEnd"/>
      <w:r w:rsidRPr="00FD30CD">
        <w:rPr>
          <w:rFonts w:eastAsiaTheme="minorEastAsia"/>
          <w:color w:val="000000" w:themeColor="text1"/>
        </w:rPr>
        <w:t xml:space="preserve">, инженер </w:t>
      </w:r>
      <w:r w:rsidR="00A51C88" w:rsidRPr="00FD30CD">
        <w:rPr>
          <w:rFonts w:eastAsiaTheme="minorEastAsia"/>
          <w:color w:val="000000" w:themeColor="text1"/>
        </w:rPr>
        <w:t>–</w:t>
      </w:r>
      <w:r w:rsidR="006235E6" w:rsidRPr="00FD30CD">
        <w:rPr>
          <w:rFonts w:eastAsiaTheme="minorEastAsia"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технолог</w:t>
      </w:r>
      <w:r w:rsidR="00A51C88" w:rsidRPr="00FD30CD">
        <w:rPr>
          <w:rFonts w:eastAsiaTheme="minorEastAsia"/>
          <w:color w:val="000000" w:themeColor="text1"/>
        </w:rPr>
        <w:t>.</w:t>
      </w:r>
    </w:p>
    <w:p w:rsidR="000C2790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Все должности, занимаемые данным лицом в эмитенте и других организациях </w:t>
      </w:r>
      <w:proofErr w:type="gramStart"/>
      <w:r w:rsidRPr="00FD30CD">
        <w:rPr>
          <w:rFonts w:eastAsiaTheme="minorEastAsia"/>
          <w:color w:val="000000" w:themeColor="text1"/>
        </w:rPr>
        <w:t>за</w:t>
      </w:r>
      <w:proofErr w:type="gramEnd"/>
      <w:r w:rsidRPr="00FD30CD">
        <w:rPr>
          <w:rFonts w:eastAsiaTheme="minorEastAsia"/>
          <w:color w:val="000000" w:themeColor="text1"/>
        </w:rPr>
        <w:t xml:space="preserve"> последние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5 лет и в настоящее время в хронологическом порядке, в том числе по совместительству</w:t>
      </w:r>
      <w:r w:rsidR="00664902" w:rsidRPr="00FD30CD">
        <w:rPr>
          <w:rFonts w:eastAsiaTheme="minorEastAsia"/>
          <w:color w:val="000000" w:themeColor="text1"/>
        </w:rPr>
        <w:t>: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3139"/>
      </w:tblGrid>
      <w:tr w:rsidR="00F62AFB" w:rsidRPr="00FD30CD" w:rsidTr="00A604DB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Период</w:t>
            </w:r>
            <w:r w:rsidR="003C5924" w:rsidRPr="00FD30CD">
              <w:rPr>
                <w:rFonts w:eastAsiaTheme="minorEastAsia"/>
                <w:color w:val="000000" w:themeColor="text1"/>
              </w:rPr>
              <w:t xml:space="preserve"> 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Наименование организации</w:t>
            </w:r>
          </w:p>
        </w:tc>
        <w:tc>
          <w:tcPr>
            <w:tcW w:w="313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Должность</w:t>
            </w:r>
          </w:p>
        </w:tc>
      </w:tr>
      <w:tr w:rsidR="00F62AFB" w:rsidRPr="00FD30CD" w:rsidTr="00A604DB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</w:p>
        </w:tc>
      </w:tr>
      <w:tr w:rsidR="00F62AFB" w:rsidRPr="00FD30CD" w:rsidTr="00A604DB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ОАО "Фонд Ковчег"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Генеральный директор</w:t>
            </w:r>
          </w:p>
        </w:tc>
      </w:tr>
      <w:tr w:rsidR="00F62AFB" w:rsidRPr="00FD30CD" w:rsidTr="00A604DB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ООО "СТМ-ЦЕНТР"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Генеральный директор по совместительству</w:t>
            </w:r>
          </w:p>
        </w:tc>
      </w:tr>
      <w:tr w:rsidR="00F62AFB" w:rsidRPr="00FD30CD" w:rsidTr="00AA4532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ПАО "Фонд Ковчег"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Генеральный директор</w:t>
            </w:r>
          </w:p>
        </w:tc>
      </w:tr>
      <w:tr w:rsidR="00AA4532" w:rsidRPr="00FD30CD" w:rsidTr="00A604DB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A4532" w:rsidRPr="00FD30CD" w:rsidRDefault="0056281C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4532" w:rsidRPr="00FD30CD" w:rsidRDefault="0056281C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4532" w:rsidRPr="00FD30CD" w:rsidRDefault="00AA4532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ООО «Эгида»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A4532" w:rsidRPr="00FD30CD" w:rsidRDefault="00AA4532" w:rsidP="00B24771">
            <w:pPr>
              <w:pStyle w:val="a5"/>
              <w:rPr>
                <w:rFonts w:eastAsiaTheme="minorEastAsia"/>
                <w:color w:val="000000" w:themeColor="text1"/>
              </w:rPr>
            </w:pPr>
            <w:r w:rsidRPr="00FD30CD">
              <w:rPr>
                <w:rFonts w:eastAsiaTheme="minorEastAsia"/>
                <w:color w:val="000000" w:themeColor="text1"/>
              </w:rPr>
              <w:t>Генеральный директор по совместительству</w:t>
            </w:r>
          </w:p>
        </w:tc>
      </w:tr>
    </w:tbl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</w:p>
    <w:p w:rsidR="000837A3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  <w:r w:rsidR="009E7485" w:rsidRPr="00FD30CD">
        <w:rPr>
          <w:rFonts w:eastAsiaTheme="minorEastAsia"/>
          <w:color w:val="000000" w:themeColor="text1"/>
        </w:rPr>
        <w:t>.</w:t>
      </w:r>
    </w:p>
    <w:p w:rsidR="00F17965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proofErr w:type="gramStart"/>
      <w:r w:rsidRPr="00FD30CD">
        <w:rPr>
          <w:rFonts w:eastAsiaTheme="minorEastAsia"/>
          <w:color w:val="000000" w:themeColor="text1"/>
        </w:rPr>
        <w:t xml:space="preserve">Лицо </w:t>
      </w:r>
      <w:r w:rsidR="00E66635" w:rsidRPr="00FD30CD">
        <w:rPr>
          <w:rFonts w:eastAsiaTheme="minorEastAsia"/>
          <w:color w:val="000000" w:themeColor="text1"/>
        </w:rPr>
        <w:t>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="00E66635" w:rsidRPr="00FD30CD">
        <w:rPr>
          <w:rFonts w:eastAsiaTheme="minorEastAsia"/>
          <w:color w:val="000000" w:themeColor="text1"/>
        </w:rPr>
        <w:t xml:space="preserve"> зависимого общества эмитента—</w:t>
      </w:r>
      <w:r w:rsidRPr="00FD30CD">
        <w:rPr>
          <w:rFonts w:eastAsiaTheme="minorEastAsia"/>
          <w:color w:val="000000" w:themeColor="text1"/>
        </w:rPr>
        <w:t xml:space="preserve">не имеет. 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A51C88" w:rsidRPr="00FD30CD">
        <w:rPr>
          <w:rFonts w:eastAsiaTheme="minorEastAsia"/>
          <w:color w:val="000000" w:themeColor="text1"/>
        </w:rPr>
        <w:t>.</w:t>
      </w:r>
    </w:p>
    <w:p w:rsidR="00F62AFB" w:rsidRPr="00FD30CD" w:rsidRDefault="00F17965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Имеет</w:t>
      </w:r>
      <w:r w:rsidR="00F62AFB" w:rsidRPr="00FD30CD">
        <w:rPr>
          <w:rFonts w:eastAsiaTheme="minorEastAsia"/>
          <w:color w:val="000000" w:themeColor="text1"/>
        </w:rPr>
        <w:t xml:space="preserve"> родственны</w:t>
      </w:r>
      <w:r w:rsidRPr="00FD30CD">
        <w:rPr>
          <w:rFonts w:eastAsiaTheme="minorEastAsia"/>
          <w:color w:val="000000" w:themeColor="text1"/>
        </w:rPr>
        <w:t>е</w:t>
      </w:r>
      <w:r w:rsidR="00F62AFB" w:rsidRPr="00FD30CD">
        <w:rPr>
          <w:rFonts w:eastAsiaTheme="minorEastAsia"/>
          <w:color w:val="000000" w:themeColor="text1"/>
        </w:rPr>
        <w:t xml:space="preserve"> связ</w:t>
      </w:r>
      <w:r w:rsidRPr="00FD30CD">
        <w:rPr>
          <w:rFonts w:eastAsiaTheme="minorEastAsia"/>
          <w:color w:val="000000" w:themeColor="text1"/>
        </w:rPr>
        <w:t>и</w:t>
      </w:r>
      <w:r w:rsidR="00F62AFB"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</w:t>
      </w:r>
      <w:proofErr w:type="gramStart"/>
      <w:r w:rsidR="00F62AFB" w:rsidRPr="00FD30CD">
        <w:rPr>
          <w:rFonts w:eastAsiaTheme="minorEastAsia"/>
          <w:color w:val="000000" w:themeColor="text1"/>
        </w:rPr>
        <w:t>контроля за</w:t>
      </w:r>
      <w:proofErr w:type="gramEnd"/>
      <w:r w:rsidR="00F62AFB"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эмитента:</w:t>
      </w:r>
      <w:r w:rsidR="00F62AFB" w:rsidRPr="00FD30CD">
        <w:rPr>
          <w:rFonts w:eastAsiaTheme="minorEastAsia"/>
          <w:color w:val="000000" w:themeColor="text1"/>
        </w:rPr>
        <w:br/>
      </w:r>
      <w:r w:rsidR="00BB1D41" w:rsidRPr="00FD30CD">
        <w:rPr>
          <w:rFonts w:eastAsiaTheme="minorEastAsia"/>
          <w:color w:val="000000" w:themeColor="text1"/>
        </w:rPr>
        <w:t xml:space="preserve">в состав органов управления эмитента входит  </w:t>
      </w:r>
      <w:r w:rsidR="00F62AFB" w:rsidRPr="00FD30CD">
        <w:rPr>
          <w:rFonts w:eastAsiaTheme="minorEastAsia"/>
          <w:color w:val="000000" w:themeColor="text1"/>
        </w:rPr>
        <w:t>Тарасова Любовь Николаевна -</w:t>
      </w:r>
      <w:r w:rsidR="001D7EC6" w:rsidRPr="00FD30CD">
        <w:rPr>
          <w:rFonts w:eastAsiaTheme="minorEastAsia"/>
          <w:color w:val="000000" w:themeColor="text1"/>
        </w:rPr>
        <w:t xml:space="preserve"> </w:t>
      </w:r>
      <w:r w:rsidR="00F62AFB" w:rsidRPr="00FD30CD">
        <w:rPr>
          <w:rFonts w:eastAsiaTheme="minorEastAsia"/>
          <w:color w:val="000000" w:themeColor="text1"/>
        </w:rPr>
        <w:t>супруга,</w:t>
      </w:r>
      <w:r w:rsidR="0001401F" w:rsidRPr="00FD30CD">
        <w:rPr>
          <w:rFonts w:eastAsiaTheme="minorEastAsia"/>
          <w:color w:val="000000" w:themeColor="text1"/>
        </w:rPr>
        <w:t xml:space="preserve"> </w:t>
      </w:r>
      <w:r w:rsidR="00F62AFB" w:rsidRPr="00FD30CD">
        <w:rPr>
          <w:rFonts w:eastAsiaTheme="minorEastAsia"/>
          <w:color w:val="000000" w:themeColor="text1"/>
        </w:rPr>
        <w:t>член совета директоров</w:t>
      </w:r>
      <w:r w:rsidR="00604223" w:rsidRPr="00FD30CD">
        <w:rPr>
          <w:rFonts w:eastAsiaTheme="minorEastAsia"/>
          <w:color w:val="000000" w:themeColor="text1"/>
        </w:rPr>
        <w:t>, заместитель генерального директора по экономике ПАО «Фонд Ковчег».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к </w:t>
      </w:r>
      <w:r w:rsidR="0001401F" w:rsidRPr="00FD30CD">
        <w:rPr>
          <w:rFonts w:eastAsiaTheme="minorEastAsia"/>
          <w:color w:val="000000" w:themeColor="text1"/>
        </w:rPr>
        <w:t xml:space="preserve">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</w:t>
      </w:r>
      <w:r w:rsidR="00AD24CE" w:rsidRPr="00FD30CD">
        <w:rPr>
          <w:rFonts w:eastAsiaTheme="minorEastAsia"/>
          <w:color w:val="000000" w:themeColor="text1"/>
        </w:rPr>
        <w:t xml:space="preserve"> власти </w:t>
      </w:r>
      <w:r w:rsidR="0001401F" w:rsidRPr="00FD30CD">
        <w:rPr>
          <w:rFonts w:eastAsiaTheme="minorEastAsia"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не привлекалось</w:t>
      </w:r>
      <w:r w:rsidR="00594548" w:rsidRPr="00FD30CD">
        <w:rPr>
          <w:rFonts w:eastAsiaTheme="minorEastAsia"/>
          <w:color w:val="000000" w:themeColor="text1"/>
        </w:rPr>
        <w:t>.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lastRenderedPageBreak/>
        <w:t>Лицо</w:t>
      </w:r>
      <w:r w:rsidR="00594548" w:rsidRPr="00FD30CD">
        <w:rPr>
          <w:rFonts w:eastAsiaTheme="minorEastAsia"/>
          <w:color w:val="000000" w:themeColor="text1"/>
        </w:rPr>
        <w:t xml:space="preserve"> не занимало</w:t>
      </w:r>
      <w:r w:rsidRPr="00FD30CD">
        <w:rPr>
          <w:rFonts w:eastAsiaTheme="minorEastAsia"/>
          <w:color w:val="000000" w:themeColor="text1"/>
        </w:rPr>
        <w:t xml:space="preserve"> </w:t>
      </w:r>
      <w:r w:rsidR="0001401F" w:rsidRPr="00FD30CD">
        <w:rPr>
          <w:rFonts w:eastAsiaTheme="minorEastAsia"/>
          <w:color w:val="000000" w:themeColor="text1"/>
        </w:rPr>
        <w:t>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="00594548" w:rsidRPr="00FD30CD">
        <w:rPr>
          <w:rFonts w:eastAsiaTheme="minorEastAsia"/>
          <w:color w:val="000000" w:themeColor="text1"/>
        </w:rPr>
        <w:t>).</w:t>
      </w:r>
      <w:r w:rsidRPr="00FD30CD">
        <w:rPr>
          <w:rFonts w:eastAsiaTheme="minorEastAsia"/>
          <w:color w:val="000000" w:themeColor="text1"/>
        </w:rPr>
        <w:t xml:space="preserve"> </w:t>
      </w:r>
    </w:p>
    <w:p w:rsidR="004378AE" w:rsidRPr="00FD30CD" w:rsidRDefault="004378AE" w:rsidP="004378AE">
      <w:pPr>
        <w:widowControl w:val="0"/>
        <w:autoSpaceDE w:val="0"/>
        <w:autoSpaceDN w:val="0"/>
        <w:adjustRightInd w:val="0"/>
        <w:spacing w:before="20" w:after="4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62AFB" w:rsidRPr="00FD30CD" w:rsidRDefault="00F62AFB" w:rsidP="003640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Ильяшенко Геннадий Григорьевич</w:t>
      </w:r>
    </w:p>
    <w:p w:rsidR="00F62AFB" w:rsidRPr="00FD30CD" w:rsidRDefault="00F62AFB" w:rsidP="00C26C39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Независимый член совета директоров</w:t>
      </w:r>
      <w:r w:rsidR="007E7F1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C26C39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1947</w:t>
      </w:r>
      <w:r w:rsidR="004A40E9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="00C26C39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4A40E9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C26C39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Красноярский Политехнический институт</w:t>
      </w:r>
      <w:r w:rsidR="00C2203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высшее</w:t>
      </w:r>
      <w:proofErr w:type="gram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инженер сварочного оборудования</w:t>
      </w:r>
      <w:r w:rsidR="007E7F1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C26C39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  <w:r w:rsidR="00664902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F62AFB" w:rsidRPr="00FD30CD" w:rsidRDefault="00F62AFB" w:rsidP="00C2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F62AFB" w:rsidRPr="00FD30CD" w:rsidTr="007A382D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E5438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  <w:r w:rsidR="00E54388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F62AFB" w:rsidRPr="00FD30CD" w:rsidTr="007A382D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AFB" w:rsidRPr="00FD30CD" w:rsidTr="007A382D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УК "</w:t>
            </w:r>
            <w:proofErr w:type="spellStart"/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Сибтехмонтаж</w:t>
            </w:r>
            <w:proofErr w:type="spellEnd"/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C22030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62AFB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лавный инженер</w:t>
            </w:r>
          </w:p>
        </w:tc>
      </w:tr>
      <w:tr w:rsidR="00F62AFB" w:rsidRPr="00FD30CD" w:rsidTr="007A382D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УК Высота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</w:t>
            </w:r>
          </w:p>
        </w:tc>
      </w:tr>
    </w:tbl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D139FC" w:rsidRPr="00FD30CD" w:rsidRDefault="007D38F5" w:rsidP="004A40E9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4A40E9" w:rsidRPr="00FD30CD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  <w:r w:rsidR="004D615C" w:rsidRPr="00FD30CD">
        <w:rPr>
          <w:rFonts w:eastAsiaTheme="minorEastAsia"/>
          <w:color w:val="000000" w:themeColor="text1"/>
        </w:rPr>
        <w:t>.</w:t>
      </w:r>
    </w:p>
    <w:p w:rsidR="004A40E9" w:rsidRPr="00FD30CD" w:rsidRDefault="004A40E9" w:rsidP="004A40E9">
      <w:pPr>
        <w:pStyle w:val="a5"/>
        <w:rPr>
          <w:rFonts w:eastAsiaTheme="minorEastAsia"/>
          <w:color w:val="000000" w:themeColor="text1"/>
        </w:rPr>
      </w:pPr>
      <w:proofErr w:type="gramStart"/>
      <w:r w:rsidRPr="00FD30CD">
        <w:rPr>
          <w:rFonts w:eastAsiaTheme="minorEastAsia"/>
          <w:color w:val="000000" w:themeColor="text1"/>
        </w:rPr>
        <w:t>Лицо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rFonts w:eastAsiaTheme="minorEastAsia"/>
          <w:color w:val="000000" w:themeColor="text1"/>
        </w:rPr>
        <w:t xml:space="preserve"> зависимого общества эмитента—не имеет. </w:t>
      </w:r>
    </w:p>
    <w:p w:rsidR="004A40E9" w:rsidRPr="00FD30CD" w:rsidRDefault="007D38F5" w:rsidP="004A40E9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4A40E9"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7E7F10" w:rsidRPr="00FD30CD">
        <w:rPr>
          <w:rFonts w:eastAsiaTheme="minorEastAsia"/>
          <w:color w:val="000000" w:themeColor="text1"/>
        </w:rPr>
        <w:t>.</w:t>
      </w:r>
    </w:p>
    <w:p w:rsidR="004A40E9" w:rsidRPr="00FD30CD" w:rsidRDefault="007D38F5" w:rsidP="004A40E9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4A40E9" w:rsidRPr="00FD30CD">
        <w:rPr>
          <w:rFonts w:eastAsiaTheme="minorEastAsia"/>
          <w:color w:val="000000" w:themeColor="text1"/>
        </w:rPr>
        <w:t xml:space="preserve">Не имеет родственных связей с иными лицами, входящими в состав органов управления эмитента и/или органов </w:t>
      </w:r>
      <w:proofErr w:type="gramStart"/>
      <w:r w:rsidR="004A40E9" w:rsidRPr="00FD30CD">
        <w:rPr>
          <w:rFonts w:eastAsiaTheme="minorEastAsia"/>
          <w:color w:val="000000" w:themeColor="text1"/>
        </w:rPr>
        <w:t>контроля за</w:t>
      </w:r>
      <w:proofErr w:type="gramEnd"/>
      <w:r w:rsidR="004A40E9"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  <w:r w:rsidR="007E7F10" w:rsidRPr="00FD30CD">
        <w:rPr>
          <w:rFonts w:eastAsiaTheme="minorEastAsia"/>
          <w:color w:val="000000" w:themeColor="text1"/>
        </w:rPr>
        <w:t>.</w:t>
      </w:r>
    </w:p>
    <w:p w:rsidR="004A40E9" w:rsidRPr="00FD30CD" w:rsidRDefault="007D38F5" w:rsidP="004A40E9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4A40E9"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62AFB" w:rsidRPr="00FD30CD" w:rsidRDefault="00F62AFB" w:rsidP="006A540A">
      <w:pPr>
        <w:pStyle w:val="a5"/>
        <w:numPr>
          <w:ilvl w:val="0"/>
          <w:numId w:val="2"/>
        </w:numPr>
        <w:rPr>
          <w:color w:val="000000" w:themeColor="text1"/>
        </w:rPr>
      </w:pPr>
      <w:r w:rsidRPr="00FD30CD">
        <w:rPr>
          <w:color w:val="000000" w:themeColor="text1"/>
        </w:rPr>
        <w:t>Демчен</w:t>
      </w:r>
      <w:r w:rsidR="00686D1D" w:rsidRPr="00FD30CD">
        <w:rPr>
          <w:color w:val="000000" w:themeColor="text1"/>
        </w:rPr>
        <w:t>к</w:t>
      </w:r>
      <w:r w:rsidRPr="00FD30CD">
        <w:rPr>
          <w:color w:val="000000" w:themeColor="text1"/>
        </w:rPr>
        <w:t>о Наталья Викторовна</w:t>
      </w:r>
      <w:r w:rsidR="00161AB0" w:rsidRPr="00FD30CD">
        <w:rPr>
          <w:color w:val="000000" w:themeColor="text1"/>
        </w:rPr>
        <w:t>.</w:t>
      </w:r>
    </w:p>
    <w:p w:rsidR="00F62AFB" w:rsidRPr="00FD30CD" w:rsidRDefault="007D38F5" w:rsidP="00686D1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r w:rsidR="00F62AFB" w:rsidRPr="00FD30CD">
        <w:rPr>
          <w:color w:val="000000" w:themeColor="text1"/>
        </w:rPr>
        <w:t>Год рождения: 1956</w:t>
      </w:r>
      <w:r w:rsidR="00E81C1B" w:rsidRPr="00FD30CD">
        <w:rPr>
          <w:rFonts w:eastAsiaTheme="minorEastAsia"/>
          <w:color w:val="000000" w:themeColor="text1"/>
        </w:rPr>
        <w:t>,о</w:t>
      </w:r>
      <w:r w:rsidR="00F62AFB" w:rsidRPr="00FD30CD">
        <w:rPr>
          <w:color w:val="000000" w:themeColor="text1"/>
        </w:rPr>
        <w:t>бразование:</w:t>
      </w:r>
      <w:r w:rsidR="00E81C1B" w:rsidRPr="00FD30CD">
        <w:rPr>
          <w:rFonts w:eastAsiaTheme="minorEastAsia"/>
          <w:color w:val="000000" w:themeColor="text1"/>
        </w:rPr>
        <w:t xml:space="preserve"> </w:t>
      </w:r>
      <w:r w:rsidR="00F62AFB" w:rsidRPr="00FD30CD">
        <w:rPr>
          <w:color w:val="000000" w:themeColor="text1"/>
        </w:rPr>
        <w:t xml:space="preserve">Красноярский строительный техникум, </w:t>
      </w:r>
      <w:r w:rsidR="00E81C1B" w:rsidRPr="00FD30CD">
        <w:rPr>
          <w:rFonts w:eastAsiaTheme="minorEastAsia"/>
          <w:color w:val="000000" w:themeColor="text1"/>
        </w:rPr>
        <w:t xml:space="preserve"> </w:t>
      </w:r>
      <w:r w:rsidR="00F62AFB" w:rsidRPr="00FD30CD">
        <w:rPr>
          <w:color w:val="000000" w:themeColor="text1"/>
        </w:rPr>
        <w:t>средне</w:t>
      </w:r>
      <w:proofErr w:type="gramStart"/>
      <w:r w:rsidR="00A66826" w:rsidRPr="00FD30CD">
        <w:rPr>
          <w:color w:val="000000" w:themeColor="text1"/>
        </w:rPr>
        <w:t>е</w:t>
      </w:r>
      <w:r w:rsidR="007E7F10" w:rsidRPr="00FD30CD">
        <w:rPr>
          <w:color w:val="000000" w:themeColor="text1"/>
        </w:rPr>
        <w:t>-</w:t>
      </w:r>
      <w:proofErr w:type="gramEnd"/>
      <w:r w:rsidR="00F62AFB" w:rsidRPr="00FD30CD">
        <w:rPr>
          <w:color w:val="000000" w:themeColor="text1"/>
        </w:rPr>
        <w:t xml:space="preserve"> техническое, архитектор</w:t>
      </w:r>
      <w:r w:rsidR="00EA0976" w:rsidRPr="00FD30CD">
        <w:rPr>
          <w:color w:val="000000" w:themeColor="text1"/>
        </w:rPr>
        <w:t>.</w:t>
      </w:r>
    </w:p>
    <w:p w:rsidR="00F62AFB" w:rsidRPr="00FD30CD" w:rsidRDefault="007D38F5" w:rsidP="00686D1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proofErr w:type="gramStart"/>
      <w:r w:rsidR="00F62AFB" w:rsidRPr="00FD30CD">
        <w:rPr>
          <w:color w:val="000000" w:themeColor="text1"/>
        </w:rP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  <w:r w:rsidR="00664902" w:rsidRPr="00FD30CD">
        <w:rPr>
          <w:color w:val="000000" w:themeColor="text1"/>
        </w:rPr>
        <w:t>:</w:t>
      </w:r>
      <w:proofErr w:type="gramEnd"/>
    </w:p>
    <w:p w:rsidR="00F62AFB" w:rsidRPr="00FD30CD" w:rsidRDefault="00F62AFB" w:rsidP="00686D1D">
      <w:pPr>
        <w:pStyle w:val="a5"/>
        <w:rPr>
          <w:color w:val="000000" w:themeColor="text1"/>
        </w:rPr>
      </w:pPr>
    </w:p>
    <w:tbl>
      <w:tblPr>
        <w:tblW w:w="0" w:type="auto"/>
        <w:tblInd w:w="35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6"/>
        <w:gridCol w:w="1260"/>
        <w:gridCol w:w="3980"/>
        <w:gridCol w:w="3139"/>
      </w:tblGrid>
      <w:tr w:rsidR="00F62AFB" w:rsidRPr="00FD30CD" w:rsidTr="00013422">
        <w:tc>
          <w:tcPr>
            <w:tcW w:w="223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Период</w:t>
            </w:r>
            <w:r w:rsidR="00E54388" w:rsidRPr="00FD30CD">
              <w:rPr>
                <w:color w:val="000000" w:themeColor="text1"/>
              </w:rPr>
              <w:t xml:space="preserve"> 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313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Должность</w:t>
            </w:r>
          </w:p>
        </w:tc>
      </w:tr>
      <w:tr w:rsidR="00F62AFB" w:rsidRPr="00FD30CD" w:rsidTr="00013422">
        <w:tc>
          <w:tcPr>
            <w:tcW w:w="9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</w:p>
        </w:tc>
      </w:tr>
      <w:tr w:rsidR="00F62AFB" w:rsidRPr="00FD30CD" w:rsidTr="00013422">
        <w:tc>
          <w:tcPr>
            <w:tcW w:w="9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2007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2015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ОАО "Фонд Ковчег"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Главный специалист по работе с акционерами</w:t>
            </w:r>
          </w:p>
        </w:tc>
      </w:tr>
      <w:tr w:rsidR="00F62AFB" w:rsidRPr="00FD30CD" w:rsidTr="00013422">
        <w:tc>
          <w:tcPr>
            <w:tcW w:w="9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686D1D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8E53C9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ПАО "Фонд К</w:t>
            </w:r>
            <w:r w:rsidR="008E53C9" w:rsidRPr="00FD30CD">
              <w:rPr>
                <w:color w:val="000000" w:themeColor="text1"/>
              </w:rPr>
              <w:t>о</w:t>
            </w:r>
            <w:r w:rsidRPr="00FD30CD">
              <w:rPr>
                <w:color w:val="000000" w:themeColor="text1"/>
              </w:rPr>
              <w:t>вчег"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2AFB" w:rsidRPr="00FD30CD" w:rsidRDefault="00F62AFB" w:rsidP="008E53C9">
            <w:pPr>
              <w:pStyle w:val="a5"/>
              <w:rPr>
                <w:color w:val="000000" w:themeColor="text1"/>
              </w:rPr>
            </w:pPr>
            <w:r w:rsidRPr="00FD30CD">
              <w:rPr>
                <w:color w:val="000000" w:themeColor="text1"/>
              </w:rPr>
              <w:t>Гл</w:t>
            </w:r>
            <w:r w:rsidR="008E53C9" w:rsidRPr="00FD30CD">
              <w:rPr>
                <w:color w:val="000000" w:themeColor="text1"/>
              </w:rPr>
              <w:t>авный</w:t>
            </w:r>
            <w:r w:rsidRPr="00FD30CD">
              <w:rPr>
                <w:color w:val="000000" w:themeColor="text1"/>
              </w:rPr>
              <w:t xml:space="preserve"> сп</w:t>
            </w:r>
            <w:r w:rsidR="008E53C9" w:rsidRPr="00FD30CD">
              <w:rPr>
                <w:color w:val="000000" w:themeColor="text1"/>
              </w:rPr>
              <w:t>ециалист</w:t>
            </w:r>
            <w:r w:rsidRPr="00FD30CD">
              <w:rPr>
                <w:color w:val="000000" w:themeColor="text1"/>
              </w:rPr>
              <w:t xml:space="preserve"> по работе с акционерами</w:t>
            </w:r>
          </w:p>
        </w:tc>
      </w:tr>
    </w:tbl>
    <w:p w:rsidR="004378AE" w:rsidRPr="00FD30CD" w:rsidRDefault="007D38F5" w:rsidP="00686D1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</w:t>
      </w:r>
    </w:p>
    <w:p w:rsidR="00647C69" w:rsidRPr="00FD30CD" w:rsidRDefault="007D38F5" w:rsidP="00686D1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</w:t>
      </w:r>
      <w:r w:rsidR="00E81C1B" w:rsidRPr="00FD30CD">
        <w:rPr>
          <w:color w:val="000000" w:themeColor="text1"/>
        </w:rPr>
        <w:t>Доли участия в уставном капитале эмитента/обыкновенных акций не имеет</w:t>
      </w:r>
      <w:r w:rsidR="00647C69" w:rsidRPr="00FD30CD">
        <w:rPr>
          <w:color w:val="000000" w:themeColor="text1"/>
        </w:rPr>
        <w:t>.</w:t>
      </w:r>
    </w:p>
    <w:p w:rsidR="00E81C1B" w:rsidRPr="00FD30CD" w:rsidRDefault="007D38F5" w:rsidP="00686D1D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proofErr w:type="gramStart"/>
      <w:r w:rsidR="00E81C1B" w:rsidRPr="00FD30CD">
        <w:rPr>
          <w:color w:val="000000" w:themeColor="text1"/>
        </w:rPr>
        <w:t xml:space="preserve">Лицо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</w:t>
      </w:r>
      <w:r w:rsidR="00E81C1B" w:rsidRPr="00FD30CD">
        <w:rPr>
          <w:color w:val="000000" w:themeColor="text1"/>
        </w:rPr>
        <w:lastRenderedPageBreak/>
        <w:t>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="00E81C1B" w:rsidRPr="00FD30CD">
        <w:rPr>
          <w:color w:val="000000" w:themeColor="text1"/>
        </w:rPr>
        <w:t xml:space="preserve"> зависимого общества эмитента</w:t>
      </w:r>
      <w:r w:rsidR="00E81C1B" w:rsidRPr="00FD30CD">
        <w:rPr>
          <w:rFonts w:eastAsiaTheme="minorEastAsia"/>
          <w:color w:val="000000" w:themeColor="text1"/>
        </w:rPr>
        <w:t>—</w:t>
      </w:r>
      <w:r w:rsidR="00E81C1B" w:rsidRPr="00FD30CD">
        <w:rPr>
          <w:color w:val="000000" w:themeColor="text1"/>
        </w:rPr>
        <w:t xml:space="preserve">не имеет. </w:t>
      </w:r>
    </w:p>
    <w:p w:rsidR="00E81C1B" w:rsidRPr="00FD30CD" w:rsidRDefault="007D38F5" w:rsidP="00686D1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r w:rsidR="00E81C1B" w:rsidRPr="00FD30CD">
        <w:rPr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EA0976" w:rsidRPr="00FD30CD">
        <w:rPr>
          <w:color w:val="000000" w:themeColor="text1"/>
        </w:rPr>
        <w:t>.</w:t>
      </w:r>
    </w:p>
    <w:p w:rsidR="00E81C1B" w:rsidRPr="00FD30CD" w:rsidRDefault="007D38F5" w:rsidP="00E81C1B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E81C1B" w:rsidRPr="00FD30CD">
        <w:rPr>
          <w:rFonts w:eastAsiaTheme="minorEastAsia"/>
          <w:color w:val="000000" w:themeColor="text1"/>
        </w:rPr>
        <w:t xml:space="preserve">Не имеет родственных связей с иными лицами, входящими в состав органов управления эмитента и/или органов </w:t>
      </w:r>
      <w:proofErr w:type="gramStart"/>
      <w:r w:rsidR="00E81C1B" w:rsidRPr="00FD30CD">
        <w:rPr>
          <w:rFonts w:eastAsiaTheme="minorEastAsia"/>
          <w:color w:val="000000" w:themeColor="text1"/>
        </w:rPr>
        <w:t>контроля за</w:t>
      </w:r>
      <w:proofErr w:type="gramEnd"/>
      <w:r w:rsidR="00E81C1B"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  <w:r w:rsidR="00EA0976" w:rsidRPr="00FD30CD">
        <w:rPr>
          <w:rFonts w:eastAsiaTheme="minorEastAsia"/>
          <w:color w:val="000000" w:themeColor="text1"/>
        </w:rPr>
        <w:t>.</w:t>
      </w:r>
    </w:p>
    <w:p w:rsidR="00E81C1B" w:rsidRPr="00FD30CD" w:rsidRDefault="007D38F5" w:rsidP="00E81C1B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E81C1B"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F62AFB" w:rsidRPr="00FD30CD" w:rsidRDefault="007D38F5" w:rsidP="00E81C1B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81C1B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Лицо</w:t>
      </w:r>
      <w:r w:rsidR="00E81C1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81C1B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="00E81C1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686D1D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62AFB" w:rsidRPr="00FD30CD" w:rsidRDefault="00F62AFB" w:rsidP="000E1C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3F7978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Тезин</w:t>
      </w:r>
      <w:proofErr w:type="spell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Павел Борисович</w:t>
      </w:r>
      <w:r w:rsidR="00161AB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1980</w:t>
      </w:r>
      <w:r w:rsidR="000E1C8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0E1C80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Красноярский  Государственный технический институт, </w:t>
      </w:r>
      <w:r w:rsidR="000E1C8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высшее</w:t>
      </w:r>
      <w:proofErr w:type="gram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инженер </w:t>
      </w:r>
      <w:r w:rsidR="00EA097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r w:rsidR="000E1C8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системотехник</w:t>
      </w:r>
      <w:proofErr w:type="spellEnd"/>
      <w:r w:rsidR="00EA097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  <w:r w:rsidR="006C0078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35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6"/>
        <w:gridCol w:w="1260"/>
        <w:gridCol w:w="3980"/>
        <w:gridCol w:w="2998"/>
      </w:tblGrid>
      <w:tr w:rsidR="00F62AFB" w:rsidRPr="00FD30CD" w:rsidTr="00013422">
        <w:tc>
          <w:tcPr>
            <w:tcW w:w="223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  <w:r w:rsidR="006C0078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7C0F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F62AFB" w:rsidRPr="00FD30CD" w:rsidTr="00013422">
        <w:tc>
          <w:tcPr>
            <w:tcW w:w="9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AFB" w:rsidRPr="00FD30CD" w:rsidTr="00013422">
        <w:tc>
          <w:tcPr>
            <w:tcW w:w="9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EA0C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EA0C2D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"СИБТЕХМОНТАЖ -</w:t>
            </w:r>
            <w:r w:rsidR="00647C69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ЦЕНТР"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</w:t>
            </w:r>
            <w:r w:rsidR="006A6A27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женер</w:t>
            </w:r>
          </w:p>
        </w:tc>
      </w:tr>
    </w:tbl>
    <w:p w:rsidR="008C12C3" w:rsidRPr="00FD30CD" w:rsidRDefault="000E1C80" w:rsidP="000E1C80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</w:t>
      </w:r>
    </w:p>
    <w:p w:rsidR="000E1C80" w:rsidRPr="00FD30CD" w:rsidRDefault="000E1C80" w:rsidP="000E1C80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Доли участия в уставном капитале эмитента/обыкновенных акций не имеет</w:t>
      </w:r>
      <w:r w:rsidR="00647C69" w:rsidRPr="00FD30CD">
        <w:rPr>
          <w:color w:val="000000" w:themeColor="text1"/>
        </w:rPr>
        <w:t>.</w:t>
      </w:r>
      <w:r w:rsidRPr="00FD30CD">
        <w:rPr>
          <w:color w:val="000000" w:themeColor="text1"/>
        </w:rPr>
        <w:t xml:space="preserve"> </w:t>
      </w:r>
    </w:p>
    <w:p w:rsidR="000E1C80" w:rsidRPr="00FD30CD" w:rsidRDefault="000E1C80" w:rsidP="000E1C80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proofErr w:type="gramStart"/>
      <w:r w:rsidRPr="00FD30CD">
        <w:rPr>
          <w:color w:val="000000" w:themeColor="text1"/>
        </w:rPr>
        <w:t>Лицо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0E1C80" w:rsidRPr="00FD30CD" w:rsidRDefault="000E1C80" w:rsidP="000E1C80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EA0976" w:rsidRPr="00FD30CD">
        <w:rPr>
          <w:color w:val="000000" w:themeColor="text1"/>
        </w:rPr>
        <w:t>.</w:t>
      </w:r>
    </w:p>
    <w:p w:rsidR="000E1C80" w:rsidRPr="00FD30CD" w:rsidRDefault="000E1C80" w:rsidP="000E1C80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0E1C80" w:rsidRPr="00FD30CD" w:rsidRDefault="000E1C80" w:rsidP="000E1C80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</w:t>
      </w:r>
      <w:r w:rsidR="00697C55" w:rsidRPr="00FD30CD">
        <w:rPr>
          <w:rFonts w:eastAsiaTheme="minorEastAsia"/>
          <w:color w:val="000000" w:themeColor="text1"/>
        </w:rPr>
        <w:t>,</w:t>
      </w:r>
      <w:r w:rsidRPr="00FD30CD">
        <w:rPr>
          <w:rFonts w:eastAsiaTheme="minorEastAsia"/>
          <w:color w:val="000000" w:themeColor="text1"/>
        </w:rPr>
        <w:t xml:space="preserve">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0E1C80" w:rsidRPr="00FD30CD" w:rsidRDefault="000E1C80" w:rsidP="000E1C80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62AFB" w:rsidRPr="00FD30CD" w:rsidRDefault="00F62AFB" w:rsidP="00A44D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Тарасова Любовь Николаевна</w:t>
      </w:r>
    </w:p>
    <w:p w:rsidR="00F62AFB" w:rsidRPr="00FD30CD" w:rsidRDefault="00F62AFB" w:rsidP="006C0078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1970</w:t>
      </w:r>
      <w:r w:rsidR="00A44D9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="00161AB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367BC3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Красноярский Государственный </w:t>
      </w:r>
      <w:proofErr w:type="spellStart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Торгово</w:t>
      </w:r>
      <w:proofErr w:type="spell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-</w:t>
      </w:r>
      <w:r w:rsidR="00161AB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Экономический Институт, </w:t>
      </w:r>
      <w:proofErr w:type="gramStart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высшее</w:t>
      </w:r>
      <w:proofErr w:type="gram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экономист</w:t>
      </w:r>
      <w:r w:rsidR="00367BC3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6C0078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Все должности, занимаемые данным лицом в эмитенте и других организациях за последние 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5 лет и в настоящее время в хронологическом порядке, в том числе по совместительству</w:t>
      </w:r>
      <w:r w:rsidR="002F04E3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1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8"/>
        <w:gridCol w:w="1260"/>
        <w:gridCol w:w="3980"/>
        <w:gridCol w:w="3139"/>
      </w:tblGrid>
      <w:tr w:rsidR="00F62AFB" w:rsidRPr="00FD30CD" w:rsidTr="00A44D92">
        <w:tc>
          <w:tcPr>
            <w:tcW w:w="2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</w:t>
            </w:r>
            <w:proofErr w:type="gramStart"/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7E7C0F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="007E7C0F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3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F62AFB" w:rsidRPr="00FD30CD" w:rsidTr="00A44D92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AFB" w:rsidRPr="00FD30CD" w:rsidTr="00A44D92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"Олимп"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F62AFB" w:rsidRPr="00FD30CD" w:rsidTr="00A44D92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"Фонд Ковчег"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 w:rsidR="00C46074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еститель</w:t>
            </w: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генерального директора по экономике</w:t>
            </w:r>
          </w:p>
        </w:tc>
      </w:tr>
      <w:tr w:rsidR="00F62AFB" w:rsidRPr="00FD30CD" w:rsidTr="00A44D92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ПАО "Фонд Ковчег"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2AFB" w:rsidRPr="00FD30CD" w:rsidRDefault="00F62AFB" w:rsidP="00F53A3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генерального </w:t>
            </w:r>
            <w:r w:rsidR="00F53A3D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</w:t>
            </w: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экономике</w:t>
            </w:r>
          </w:p>
        </w:tc>
      </w:tr>
    </w:tbl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</w:p>
    <w:p w:rsidR="00E95367" w:rsidRPr="00FD30CD" w:rsidRDefault="00B06C8E" w:rsidP="000115EA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r w:rsidR="000115EA" w:rsidRPr="00FD30CD">
        <w:rPr>
          <w:color w:val="000000" w:themeColor="text1"/>
        </w:rPr>
        <w:t>Доли участия в уставном капитале эмитента/обыкновенных акций не имеет</w:t>
      </w:r>
      <w:r w:rsidR="00E95367" w:rsidRPr="00FD30CD">
        <w:rPr>
          <w:color w:val="000000" w:themeColor="text1"/>
        </w:rPr>
        <w:t>.</w:t>
      </w:r>
    </w:p>
    <w:p w:rsidR="000115EA" w:rsidRPr="00FD30CD" w:rsidRDefault="000115EA" w:rsidP="000115EA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proofErr w:type="gramStart"/>
      <w:r w:rsidRPr="00FD30CD">
        <w:rPr>
          <w:color w:val="000000" w:themeColor="text1"/>
        </w:rPr>
        <w:t>Лицо</w:t>
      </w:r>
      <w:r w:rsidR="005E6A77" w:rsidRPr="00FD30CD">
        <w:rPr>
          <w:color w:val="000000" w:themeColor="text1"/>
        </w:rPr>
        <w:t>,</w:t>
      </w:r>
      <w:r w:rsidRPr="00FD30CD">
        <w:rPr>
          <w:color w:val="000000" w:themeColor="text1"/>
        </w:rPr>
        <w:t xml:space="preserve">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0115EA" w:rsidRPr="00FD30CD" w:rsidRDefault="000115EA" w:rsidP="000115EA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EA0976" w:rsidRPr="00FD30CD">
        <w:rPr>
          <w:color w:val="000000" w:themeColor="text1"/>
        </w:rPr>
        <w:t>.</w:t>
      </w:r>
    </w:p>
    <w:p w:rsidR="000115EA" w:rsidRPr="00FD30CD" w:rsidRDefault="000115EA" w:rsidP="000115EA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Имеет родственные связи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  <w:r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в состав органов управления эмитента входит</w:t>
      </w:r>
      <w:r w:rsidRPr="00FD30CD">
        <w:rPr>
          <w:rFonts w:eastAsiaTheme="minorEastAsia"/>
          <w:bCs/>
          <w:iCs/>
          <w:color w:val="000000" w:themeColor="text1"/>
        </w:rPr>
        <w:t>: Колбасник Игорь Иосифович</w:t>
      </w:r>
      <w:r w:rsidR="009D10EF"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bCs/>
          <w:iCs/>
          <w:color w:val="000000" w:themeColor="text1"/>
        </w:rPr>
        <w:t>- супруг, член совета директоров, генеральный директор общества.</w:t>
      </w:r>
      <w:r w:rsidRPr="00FD30CD">
        <w:rPr>
          <w:rFonts w:eastAsiaTheme="minorEastAsia"/>
          <w:bCs/>
          <w:iCs/>
          <w:color w:val="000000" w:themeColor="text1"/>
        </w:rPr>
        <w:br/>
      </w: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0115EA" w:rsidRPr="00FD30CD" w:rsidRDefault="000115EA" w:rsidP="000115EA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0115EA" w:rsidRPr="00FD30CD" w:rsidRDefault="000115EA" w:rsidP="000115EA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62AFB" w:rsidRPr="00FD30CD" w:rsidRDefault="00F62AFB" w:rsidP="0027393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Герасимов Андрей Анатольевич</w:t>
      </w:r>
      <w:r w:rsidR="002F04E3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1966</w:t>
      </w:r>
      <w:r w:rsidR="005B0788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5B0788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ЕАТУ ГА,</w:t>
      </w:r>
      <w:r w:rsidR="00004E9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средне</w:t>
      </w:r>
      <w:r w:rsidR="00AE1D4A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е</w:t>
      </w:r>
      <w:r w:rsidR="0027393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-</w:t>
      </w:r>
      <w:r w:rsidR="0027393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техническое, техник</w:t>
      </w:r>
      <w:r w:rsidR="0027393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2F04E3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  <w:r w:rsidR="00EA0976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1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8"/>
        <w:gridCol w:w="1260"/>
        <w:gridCol w:w="3980"/>
        <w:gridCol w:w="2998"/>
      </w:tblGrid>
      <w:tr w:rsidR="00F62AFB" w:rsidRPr="00FD30CD" w:rsidTr="00004E90">
        <w:tc>
          <w:tcPr>
            <w:tcW w:w="2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  <w:r w:rsidR="005B0788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F62AFB" w:rsidRPr="00FD30CD" w:rsidTr="00004E90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AFB" w:rsidRPr="00FD30CD" w:rsidTr="00004E90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"Геликон"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  <w:r w:rsidR="00B06C8E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совместительству </w:t>
            </w:r>
          </w:p>
        </w:tc>
      </w:tr>
      <w:tr w:rsidR="00F62AFB" w:rsidRPr="00FD30CD" w:rsidTr="00004E90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"СТМ-ЦЕНТР"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2AFB" w:rsidRPr="00FD30CD" w:rsidRDefault="005B0788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F62AFB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аместитель генерального директора</w:t>
            </w:r>
          </w:p>
        </w:tc>
      </w:tr>
    </w:tbl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</w:p>
    <w:p w:rsidR="00EC31D4" w:rsidRPr="00FD30CD" w:rsidRDefault="00EA33D1" w:rsidP="00B06C8E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r w:rsidR="00B06C8E" w:rsidRPr="00FD30CD">
        <w:rPr>
          <w:color w:val="000000" w:themeColor="text1"/>
        </w:rPr>
        <w:t>Доли участия в уставном капитале эмитента/обыкновенных акций не имеет</w:t>
      </w:r>
      <w:r w:rsidR="00EC31D4" w:rsidRPr="00FD30CD">
        <w:rPr>
          <w:color w:val="000000" w:themeColor="text1"/>
        </w:rPr>
        <w:t>.</w:t>
      </w:r>
    </w:p>
    <w:p w:rsidR="00B06C8E" w:rsidRPr="00FD30CD" w:rsidRDefault="00544D0C" w:rsidP="00B06C8E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proofErr w:type="gramStart"/>
      <w:r w:rsidR="00B06C8E" w:rsidRPr="00FD30CD">
        <w:rPr>
          <w:color w:val="000000" w:themeColor="text1"/>
        </w:rPr>
        <w:t xml:space="preserve"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</w:t>
      </w:r>
      <w:r w:rsidR="00B06C8E" w:rsidRPr="00FD30CD">
        <w:rPr>
          <w:color w:val="000000" w:themeColor="text1"/>
        </w:rPr>
        <w:lastRenderedPageBreak/>
        <w:t>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="00B06C8E" w:rsidRPr="00FD30CD">
        <w:rPr>
          <w:color w:val="000000" w:themeColor="text1"/>
        </w:rPr>
        <w:t xml:space="preserve"> зависимого общества эмитента</w:t>
      </w:r>
      <w:r w:rsidR="00B06C8E" w:rsidRPr="00FD30CD">
        <w:rPr>
          <w:rFonts w:eastAsiaTheme="minorEastAsia"/>
          <w:color w:val="000000" w:themeColor="text1"/>
        </w:rPr>
        <w:t>—</w:t>
      </w:r>
      <w:r w:rsidR="00B06C8E" w:rsidRPr="00FD30CD">
        <w:rPr>
          <w:color w:val="000000" w:themeColor="text1"/>
        </w:rPr>
        <w:t xml:space="preserve">не имеет. </w:t>
      </w:r>
    </w:p>
    <w:p w:rsidR="00B06C8E" w:rsidRPr="00FD30CD" w:rsidRDefault="00B06C8E" w:rsidP="00B06C8E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731ED1" w:rsidRPr="00FD30CD">
        <w:rPr>
          <w:color w:val="000000" w:themeColor="text1"/>
        </w:rPr>
        <w:t>.</w:t>
      </w:r>
    </w:p>
    <w:p w:rsidR="00B06C8E" w:rsidRPr="00FD30CD" w:rsidRDefault="00B06C8E" w:rsidP="00B06C8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  <w:r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в состав органов управления эмитента.</w:t>
      </w:r>
    </w:p>
    <w:p w:rsidR="00B06C8E" w:rsidRPr="00FD30CD" w:rsidRDefault="00B06C8E" w:rsidP="00B06C8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06C8E" w:rsidRPr="00FD30CD" w:rsidRDefault="00B06C8E" w:rsidP="00B06C8E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4004B2" w:rsidRPr="00FD30CD" w:rsidRDefault="004004B2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62AFB" w:rsidRPr="00FD30CD" w:rsidRDefault="00F62AFB" w:rsidP="00DB41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Мотовилов Геннадий Алексеевич</w:t>
      </w:r>
    </w:p>
    <w:p w:rsidR="00F62AFB" w:rsidRPr="00FD30CD" w:rsidRDefault="007F3427" w:rsidP="007F342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</w:t>
      </w:r>
      <w:r w:rsidR="00F62AF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Независимый член совета директоров</w:t>
      </w:r>
      <w:r w:rsidR="0087099C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7F3427" w:rsidP="007F3427">
      <w:pPr>
        <w:widowControl w:val="0"/>
        <w:autoSpaceDE w:val="0"/>
        <w:autoSpaceDN w:val="0"/>
        <w:adjustRightInd w:val="0"/>
        <w:spacing w:before="20" w:after="40" w:line="240" w:lineRule="auto"/>
        <w:ind w:firstLine="5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62AF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="00F62AF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1956</w:t>
      </w:r>
      <w:r w:rsidR="004004B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r w:rsidR="0087099C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4004B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о</w:t>
      </w:r>
      <w:r w:rsidR="00F62AF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87099C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F62AF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ысшее, Красноярский Политехнический институ</w:t>
      </w:r>
      <w:r w:rsidR="004004B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</w:t>
      </w:r>
      <w:r w:rsidR="00F62AF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="004004B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F62AF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механик</w:t>
      </w:r>
      <w:r w:rsidR="00EA097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D53D8F" w:rsidP="007F3427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="00F62AF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  <w:r w:rsidR="00664902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1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8"/>
        <w:gridCol w:w="1260"/>
        <w:gridCol w:w="3980"/>
        <w:gridCol w:w="3281"/>
      </w:tblGrid>
      <w:tr w:rsidR="00F62AFB" w:rsidRPr="00FD30CD" w:rsidTr="00987664">
        <w:tc>
          <w:tcPr>
            <w:tcW w:w="2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  <w:r w:rsidR="00B41D91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2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F62AFB" w:rsidRPr="00FD30CD" w:rsidTr="00987664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AFB" w:rsidRPr="00FD30CD" w:rsidTr="00987664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"КПД"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</w:tr>
      <w:tr w:rsidR="00F62AFB" w:rsidRPr="00FD30CD" w:rsidTr="00987664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"АНД-Групп"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2AFB" w:rsidRPr="00FD30CD" w:rsidRDefault="004004B2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62AFB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</w:p>
        </w:tc>
      </w:tr>
    </w:tbl>
    <w:p w:rsidR="002F04E3" w:rsidRPr="00FD30CD" w:rsidRDefault="00D53D8F" w:rsidP="00EA33D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</w:t>
      </w:r>
    </w:p>
    <w:p w:rsidR="00AD108A" w:rsidRPr="00FD30CD" w:rsidRDefault="00EA33D1" w:rsidP="00EA33D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Доли участия в уставном капитале эмитента/обыкновенных акций не имеет</w:t>
      </w:r>
      <w:r w:rsidR="00AD108A" w:rsidRPr="00FD30CD">
        <w:rPr>
          <w:color w:val="000000" w:themeColor="text1"/>
        </w:rPr>
        <w:t>.</w:t>
      </w:r>
    </w:p>
    <w:p w:rsidR="00EA33D1" w:rsidRPr="00FD30CD" w:rsidRDefault="00EA33D1" w:rsidP="00EA33D1">
      <w:pPr>
        <w:pStyle w:val="a5"/>
        <w:rPr>
          <w:rFonts w:eastAsiaTheme="minorEastAsia"/>
          <w:color w:val="000000" w:themeColor="text1"/>
        </w:rPr>
      </w:pPr>
      <w:proofErr w:type="gramStart"/>
      <w:r w:rsidRPr="00FD30CD">
        <w:rPr>
          <w:color w:val="000000" w:themeColor="text1"/>
        </w:rPr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EA33D1" w:rsidRPr="00FD30CD" w:rsidRDefault="00EA33D1" w:rsidP="00EA33D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EA33D1" w:rsidRPr="00FD30CD" w:rsidRDefault="00EA33D1" w:rsidP="00EA33D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  <w:r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в состав органов управления эмитента.</w:t>
      </w:r>
    </w:p>
    <w:p w:rsidR="00EA33D1" w:rsidRPr="00FD30CD" w:rsidRDefault="00EA33D1" w:rsidP="00EA33D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EA33D1" w:rsidRPr="00FD30CD" w:rsidRDefault="00EA33D1" w:rsidP="00EA33D1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EA33D1" w:rsidRPr="00FD30CD" w:rsidRDefault="00EA33D1" w:rsidP="00EA33D1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62AFB" w:rsidRPr="00FD30CD" w:rsidRDefault="00F62AFB" w:rsidP="00DB41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Мирошник Владимир Константинович</w:t>
      </w:r>
      <w:r w:rsidR="003B699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DA3672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Независимый член совета директоров</w:t>
      </w:r>
      <w:r w:rsidR="00493C6C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1966</w:t>
      </w:r>
      <w:r w:rsidR="00DA367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 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DA3672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ысшее</w:t>
      </w:r>
      <w:r w:rsidR="004547A4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Омский </w:t>
      </w:r>
      <w:r w:rsidR="00DA367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Т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ехнический </w:t>
      </w:r>
      <w:r w:rsidR="00DA367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ниверсите</w:t>
      </w:r>
      <w:r w:rsidR="007B4CC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="00DA367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технолог</w:t>
      </w:r>
    </w:p>
    <w:p w:rsidR="003708B5" w:rsidRPr="00FD30CD" w:rsidRDefault="007D2564" w:rsidP="003708B5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F62AF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Все должности, занимаемые данным лицом в эмитенте и других организациях </w:t>
      </w:r>
      <w:proofErr w:type="gramStart"/>
      <w:r w:rsidR="00F62AF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="00F62AFB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последние </w:t>
      </w:r>
    </w:p>
    <w:p w:rsidR="00F62AFB" w:rsidRPr="00FD30CD" w:rsidRDefault="00F62AFB" w:rsidP="003708B5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 лет и в настоящее время в хронологическом порядке, в том числе по совместительству</w:t>
      </w:r>
      <w:r w:rsidR="003B6996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1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8"/>
        <w:gridCol w:w="1260"/>
        <w:gridCol w:w="3980"/>
        <w:gridCol w:w="3139"/>
      </w:tblGrid>
      <w:tr w:rsidR="00F62AFB" w:rsidRPr="00FD30CD" w:rsidTr="003708B5">
        <w:tc>
          <w:tcPr>
            <w:tcW w:w="2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  <w:r w:rsidR="00572B6D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4712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3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F62AFB" w:rsidRPr="00FD30CD" w:rsidTr="003708B5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AFB" w:rsidRPr="00FD30CD" w:rsidTr="003708B5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94564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4564A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94564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ИП</w:t>
            </w:r>
            <w:r w:rsidR="0094564A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Мирошник В.К.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C04712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</w:t>
            </w:r>
            <w:r w:rsidR="00C04712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</w:t>
            </w:r>
          </w:p>
        </w:tc>
      </w:tr>
      <w:tr w:rsidR="00F62AFB" w:rsidRPr="00FD30CD" w:rsidTr="00EF3ED5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"Каскад-М"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EF3ED5" w:rsidRPr="00FD30CD" w:rsidTr="003708B5">
        <w:tc>
          <w:tcPr>
            <w:tcW w:w="11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F3ED5" w:rsidRPr="00FD30CD" w:rsidRDefault="00EF3ED5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F3ED5" w:rsidRPr="00FD30CD" w:rsidRDefault="00EF3ED5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F3ED5" w:rsidRPr="00FD30CD" w:rsidRDefault="00EF3ED5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Технолюкс</w:t>
            </w:r>
            <w:proofErr w:type="spellEnd"/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F3ED5" w:rsidRPr="00FD30CD" w:rsidRDefault="007A6D4A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EF3ED5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</w:p>
        </w:tc>
      </w:tr>
    </w:tbl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05982" w:rsidRPr="00FD30CD" w:rsidRDefault="00C04712" w:rsidP="00C04712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Доли участия в уставном капитале эмитента/обыкновенных акций не имеет</w:t>
      </w:r>
      <w:r w:rsidR="00105982" w:rsidRPr="00FD30CD">
        <w:rPr>
          <w:color w:val="000000" w:themeColor="text1"/>
        </w:rPr>
        <w:t>.</w:t>
      </w:r>
    </w:p>
    <w:p w:rsidR="00C04712" w:rsidRPr="00FD30CD" w:rsidRDefault="00C04712" w:rsidP="00C04712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proofErr w:type="gramStart"/>
      <w:r w:rsidRPr="00FD30CD">
        <w:rPr>
          <w:color w:val="000000" w:themeColor="text1"/>
        </w:rPr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C04712" w:rsidRPr="00FD30CD" w:rsidRDefault="00C04712" w:rsidP="00C04712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C04712" w:rsidRPr="00FD30CD" w:rsidRDefault="00C04712" w:rsidP="00C04712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  <w:r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в состав органов управления эмитента.</w:t>
      </w:r>
    </w:p>
    <w:p w:rsidR="00C04712" w:rsidRPr="00FD30CD" w:rsidRDefault="00C04712" w:rsidP="00C04712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C04712" w:rsidRPr="00FD30CD" w:rsidRDefault="00C04712" w:rsidP="00C04712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</w:p>
    <w:p w:rsidR="00F62AFB" w:rsidRPr="00FD30CD" w:rsidRDefault="003A0468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B4FFD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9 . 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2AF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Евельсон Анна Анатольевна</w:t>
      </w:r>
    </w:p>
    <w:p w:rsidR="00F62AFB" w:rsidRPr="00FD30CD" w:rsidRDefault="00F62AFB" w:rsidP="002D08C9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1985</w:t>
      </w:r>
      <w:r w:rsidR="009B4FFD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EA0976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Санкт - Петербургский Гуманитарный Университет Профсоюзов, юрист</w:t>
      </w:r>
      <w:r w:rsidR="00EA097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62AFB" w:rsidRPr="00FD30CD" w:rsidRDefault="00F62AFB" w:rsidP="002D08C9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  <w:r w:rsidR="007D7309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980"/>
        <w:gridCol w:w="2680"/>
      </w:tblGrid>
      <w:tr w:rsidR="00F62AFB" w:rsidRPr="00FD30CD" w:rsidTr="002D08C9">
        <w:tc>
          <w:tcPr>
            <w:tcW w:w="25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  <w:r w:rsidR="007D7309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2B6D"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F62AFB" w:rsidRPr="00FD30CD" w:rsidTr="002D08C9"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AFB" w:rsidRPr="00FD30CD" w:rsidTr="002D08C9"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ПАО "Фонд Ковчег"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2AFB" w:rsidRPr="00FD30CD" w:rsidRDefault="00F62AFB" w:rsidP="00F62A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</w:tr>
    </w:tbl>
    <w:p w:rsidR="00572B6D" w:rsidRPr="00FD30CD" w:rsidRDefault="00572B6D" w:rsidP="009B4FFD">
      <w:pPr>
        <w:pStyle w:val="a5"/>
        <w:rPr>
          <w:color w:val="000000" w:themeColor="text1"/>
        </w:rPr>
      </w:pPr>
    </w:p>
    <w:p w:rsidR="001F1E55" w:rsidRPr="00FD30CD" w:rsidRDefault="009B4FFD" w:rsidP="009B4FF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Доли участия в уставном капитале эмитента/обыкновенных акций не имеет</w:t>
      </w:r>
      <w:r w:rsidR="001F1E55" w:rsidRPr="00FD30CD">
        <w:rPr>
          <w:color w:val="000000" w:themeColor="text1"/>
        </w:rPr>
        <w:t>.</w:t>
      </w:r>
    </w:p>
    <w:p w:rsidR="009B4FFD" w:rsidRPr="00FD30CD" w:rsidRDefault="009B4FFD" w:rsidP="009B4FFD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</w:t>
      </w:r>
      <w:proofErr w:type="gramStart"/>
      <w:r w:rsidRPr="00FD30CD">
        <w:rPr>
          <w:color w:val="000000" w:themeColor="text1"/>
        </w:rPr>
        <w:t xml:space="preserve"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</w:t>
      </w:r>
      <w:r w:rsidRPr="00FD30CD">
        <w:rPr>
          <w:color w:val="000000" w:themeColor="text1"/>
        </w:rPr>
        <w:lastRenderedPageBreak/>
        <w:t>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9B4FFD" w:rsidRPr="00FD30CD" w:rsidRDefault="009B4FFD" w:rsidP="009B4FF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9B4FFD" w:rsidRPr="00FD30CD" w:rsidRDefault="009B4FFD" w:rsidP="009B4FFD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  <w:r w:rsidRPr="00FD30CD">
        <w:rPr>
          <w:rFonts w:eastAsiaTheme="minorEastAsia"/>
          <w:bCs/>
          <w:iCs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в состав органов управления эмитента.</w:t>
      </w:r>
    </w:p>
    <w:p w:rsidR="009B4FFD" w:rsidRPr="00FD30CD" w:rsidRDefault="009B4FFD" w:rsidP="009B4FFD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9B4FFD" w:rsidRPr="00FD30CD" w:rsidRDefault="009B4FFD" w:rsidP="009B4FFD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072354" w:rsidRPr="00FD30CD" w:rsidRDefault="0018357B" w:rsidP="00132A4B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</w:t>
      </w:r>
      <w:proofErr w:type="gramStart"/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92476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.Сведения о лице, занимающем должность (осуществляющем функции) единоличного исполнительного органа акционерного общества (директоре, генеральном директоре, председателе, управляющем, управляющей организации и т.п.), и членах коллегиального исполнительного органа акционерного общества, в том числе их краткие биографические данные (год рождения, сведения об образовании, сведения об основном месте работы), доля их участия в уставном капитале акционерного общества и доля принадлежащих им обыкновенных</w:t>
      </w:r>
      <w:proofErr w:type="gramEnd"/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акций акционерного общества, а в случае, если в течение отчетного года имели место совершенные лицом, занимающим должность (осуществляющим функции) единоличного исполнительного органа, и (или) членами коллегиального исполнительного органа сделки по приобретению или отчуждению акций акционерного общества, также сведения о таких сделках с указанием по каждой сделке даты ее совершения, содержания сделки, категории (типа) и количества акций акционерного общества, являвшихся предметом</w:t>
      </w:r>
      <w:proofErr w:type="gramEnd"/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сделки;</w:t>
      </w:r>
    </w:p>
    <w:p w:rsidR="00525756" w:rsidRPr="00FD30CD" w:rsidRDefault="00525756" w:rsidP="00475389">
      <w:pPr>
        <w:pStyle w:val="a5"/>
        <w:ind w:left="360"/>
        <w:rPr>
          <w:rFonts w:eastAsiaTheme="minorEastAsia"/>
          <w:color w:val="000000" w:themeColor="text1"/>
        </w:rPr>
      </w:pPr>
      <w:bookmarkStart w:id="13" w:name="Par14"/>
      <w:bookmarkEnd w:id="13"/>
    </w:p>
    <w:p w:rsidR="002769F8" w:rsidRPr="00FD30CD" w:rsidRDefault="002769F8" w:rsidP="0084457E">
      <w:pPr>
        <w:pStyle w:val="a5"/>
        <w:ind w:left="360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Колбасник Игорь Иосифович</w:t>
      </w:r>
      <w:r w:rsidR="00475389" w:rsidRPr="00FD30CD">
        <w:rPr>
          <w:bCs/>
          <w:color w:val="000000" w:themeColor="text1"/>
        </w:rPr>
        <w:t xml:space="preserve"> занимает должность </w:t>
      </w:r>
      <w:r w:rsidR="00990992" w:rsidRPr="00FD30CD">
        <w:rPr>
          <w:bCs/>
          <w:color w:val="000000" w:themeColor="text1"/>
        </w:rPr>
        <w:t>единоличного исполнительного органа акционерного общества (генеральный директор)</w:t>
      </w:r>
    </w:p>
    <w:p w:rsidR="002769F8" w:rsidRPr="00FD30CD" w:rsidRDefault="002769F8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Год рождения: 1977,  образование: Сибирский Государственный Технологический Университет, </w:t>
      </w:r>
      <w:proofErr w:type="gramStart"/>
      <w:r w:rsidRPr="00FD30CD">
        <w:rPr>
          <w:rFonts w:eastAsiaTheme="minorEastAsia"/>
          <w:color w:val="000000" w:themeColor="text1"/>
        </w:rPr>
        <w:t>высшее</w:t>
      </w:r>
      <w:proofErr w:type="gramEnd"/>
      <w:r w:rsidRPr="00FD30CD">
        <w:rPr>
          <w:rFonts w:eastAsiaTheme="minorEastAsia"/>
          <w:color w:val="000000" w:themeColor="text1"/>
        </w:rPr>
        <w:t xml:space="preserve">, инженер </w:t>
      </w:r>
      <w:r w:rsidR="00473145" w:rsidRPr="00FD30CD">
        <w:rPr>
          <w:rFonts w:eastAsiaTheme="minorEastAsia"/>
          <w:color w:val="000000" w:themeColor="text1"/>
        </w:rPr>
        <w:t>–</w:t>
      </w:r>
      <w:r w:rsidRPr="00FD30CD">
        <w:rPr>
          <w:rFonts w:eastAsiaTheme="minorEastAsia"/>
          <w:color w:val="000000" w:themeColor="text1"/>
        </w:rPr>
        <w:t xml:space="preserve"> технолог</w:t>
      </w:r>
      <w:r w:rsidR="00473145" w:rsidRPr="00FD30CD">
        <w:rPr>
          <w:rFonts w:eastAsiaTheme="minorEastAsia"/>
          <w:color w:val="000000" w:themeColor="text1"/>
        </w:rPr>
        <w:t>.</w:t>
      </w:r>
    </w:p>
    <w:p w:rsidR="002769F8" w:rsidRPr="00FD30CD" w:rsidRDefault="00473145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bCs/>
          <w:color w:val="000000" w:themeColor="text1"/>
        </w:rPr>
        <w:t xml:space="preserve">   О</w:t>
      </w:r>
      <w:r w:rsidR="002769F8" w:rsidRPr="00FD30CD">
        <w:rPr>
          <w:bCs/>
          <w:color w:val="000000" w:themeColor="text1"/>
        </w:rPr>
        <w:t xml:space="preserve">сновное место работы на отчетный период: </w:t>
      </w:r>
      <w:r w:rsidR="002769F8" w:rsidRPr="00FD30CD">
        <w:rPr>
          <w:rFonts w:eastAsiaTheme="minorEastAsia"/>
          <w:color w:val="000000" w:themeColor="text1"/>
        </w:rPr>
        <w:t>ПАО "Фонд Ковчег", генеральный директор</w:t>
      </w:r>
    </w:p>
    <w:p w:rsidR="002769F8" w:rsidRPr="00FD30CD" w:rsidRDefault="00473145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2769F8" w:rsidRPr="00FD30CD">
        <w:rPr>
          <w:rFonts w:eastAsiaTheme="minorEastAsia"/>
          <w:color w:val="000000" w:themeColor="text1"/>
        </w:rPr>
        <w:t xml:space="preserve">Доли участия в уставном капитале эмитента: обыкновенных акций не имеет, является членом совета директоров. </w:t>
      </w:r>
    </w:p>
    <w:p w:rsidR="002769F8" w:rsidRPr="00FD30CD" w:rsidRDefault="00473145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proofErr w:type="gramStart"/>
      <w:r w:rsidR="002769F8" w:rsidRPr="00FD30CD">
        <w:rPr>
          <w:rFonts w:eastAsiaTheme="minorEastAsia"/>
          <w:color w:val="000000" w:themeColor="text1"/>
        </w:rPr>
        <w:t>Лицо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="002769F8" w:rsidRPr="00FD30CD">
        <w:rPr>
          <w:rFonts w:eastAsiaTheme="minorEastAsia"/>
          <w:color w:val="000000" w:themeColor="text1"/>
        </w:rPr>
        <w:t xml:space="preserve"> зависимого общества эмитента—не имеет. </w:t>
      </w:r>
    </w:p>
    <w:p w:rsidR="002769F8" w:rsidRPr="00FD30CD" w:rsidRDefault="00473145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2769F8"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DB1728" w:rsidRPr="00FD30CD">
        <w:rPr>
          <w:rFonts w:eastAsiaTheme="minorEastAsia"/>
          <w:color w:val="000000" w:themeColor="text1"/>
        </w:rPr>
        <w:t>.</w:t>
      </w:r>
    </w:p>
    <w:p w:rsidR="002769F8" w:rsidRPr="00FD30CD" w:rsidRDefault="00473145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lastRenderedPageBreak/>
        <w:t xml:space="preserve">   </w:t>
      </w:r>
      <w:r w:rsidR="002769F8" w:rsidRPr="00FD30CD">
        <w:rPr>
          <w:rFonts w:eastAsiaTheme="minorEastAsia"/>
          <w:color w:val="000000" w:themeColor="text1"/>
        </w:rPr>
        <w:t xml:space="preserve">Имеет родственные связи с иными лицами, входящими в состав органов управления эмитента и/или органов </w:t>
      </w:r>
      <w:proofErr w:type="gramStart"/>
      <w:r w:rsidR="002769F8" w:rsidRPr="00FD30CD">
        <w:rPr>
          <w:rFonts w:eastAsiaTheme="minorEastAsia"/>
          <w:color w:val="000000" w:themeColor="text1"/>
        </w:rPr>
        <w:t>контроля за</w:t>
      </w:r>
      <w:proofErr w:type="gramEnd"/>
      <w:r w:rsidR="002769F8"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эмитента:</w:t>
      </w:r>
      <w:r w:rsidR="002769F8" w:rsidRPr="00FD30CD">
        <w:rPr>
          <w:rFonts w:eastAsiaTheme="minorEastAsia"/>
          <w:color w:val="000000" w:themeColor="text1"/>
        </w:rPr>
        <w:br/>
        <w:t>в состав органов управления эмитента входит  Тарасова Любовь Николаевна - супруга, член совета директоров</w:t>
      </w:r>
      <w:r w:rsidR="00081B65" w:rsidRPr="00FD30CD">
        <w:rPr>
          <w:rFonts w:eastAsiaTheme="minorEastAsia"/>
          <w:color w:val="000000" w:themeColor="text1"/>
        </w:rPr>
        <w:t>, заместитель генерального директора по экономике ПАО «Фонд Ковчег».</w:t>
      </w:r>
    </w:p>
    <w:p w:rsidR="002769F8" w:rsidRPr="00FD30CD" w:rsidRDefault="00473145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2769F8"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2769F8" w:rsidRPr="00FD30CD" w:rsidRDefault="00473145" w:rsidP="002769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</w:t>
      </w:r>
      <w:r w:rsidR="002769F8" w:rsidRPr="00FD30CD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2769F8" w:rsidRPr="00FD30CD" w:rsidRDefault="002769F8" w:rsidP="002769F8">
      <w:pPr>
        <w:pStyle w:val="a5"/>
        <w:rPr>
          <w:bCs/>
          <w:color w:val="000000" w:themeColor="text1"/>
        </w:rPr>
      </w:pPr>
      <w:r w:rsidRPr="00FD30CD">
        <w:rPr>
          <w:bCs/>
          <w:color w:val="000000" w:themeColor="text1"/>
        </w:rPr>
        <w:t xml:space="preserve">В течение отчетного </w:t>
      </w:r>
      <w:r w:rsidR="00385604" w:rsidRPr="00FD30CD">
        <w:rPr>
          <w:bCs/>
          <w:color w:val="000000" w:themeColor="text1"/>
        </w:rPr>
        <w:t xml:space="preserve">2019 </w:t>
      </w:r>
      <w:r w:rsidRPr="00FD30CD">
        <w:rPr>
          <w:bCs/>
          <w:color w:val="000000" w:themeColor="text1"/>
        </w:rPr>
        <w:t>года не имели место совершенные генеральным директором</w:t>
      </w:r>
      <w:r w:rsidR="007C4364" w:rsidRPr="00FD30CD">
        <w:rPr>
          <w:bCs/>
          <w:color w:val="000000" w:themeColor="text1"/>
        </w:rPr>
        <w:t xml:space="preserve"> </w:t>
      </w:r>
      <w:r w:rsidR="00EA0976" w:rsidRPr="00FD30CD">
        <w:rPr>
          <w:bCs/>
          <w:color w:val="000000" w:themeColor="text1"/>
        </w:rPr>
        <w:t>Колбасник И.И.</w:t>
      </w:r>
      <w:r w:rsidRPr="00FD30CD">
        <w:rPr>
          <w:bCs/>
          <w:color w:val="000000" w:themeColor="text1"/>
        </w:rPr>
        <w:t xml:space="preserve">(единоличным исполнительным органом) сделки по приобретению или отчуждению акций акционерного общества. </w:t>
      </w:r>
    </w:p>
    <w:p w:rsidR="00581DD4" w:rsidRPr="00FD30CD" w:rsidRDefault="00581DD4" w:rsidP="00581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Коллегиальный исполнительный орган:  Уставом не предусмотрен.</w:t>
      </w:r>
    </w:p>
    <w:p w:rsidR="00072354" w:rsidRPr="00FD30CD" w:rsidRDefault="00072354" w:rsidP="00132A4B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54140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.Основные положения политики акционерного общества в области вознаграждения и (или) компенсации расходов, </w:t>
      </w: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также сведения по каждому из органов управления акционерного общества (за исключением физического лица, занимавшего должность (осуществлявшего функции) единоличного исполнительного органа управления акционерного общества, если только таким лицом не являлся управляющий) с указанием размера всех видов вознаграждения, включая заработную плату членов органов управления акционерного общества, являвшихся его</w:t>
      </w:r>
      <w:proofErr w:type="gramEnd"/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работниками, в том числе работавших по совместительству, премии, комиссионные, вознаграждения, отдельно выплаченные за участие в работе соответствующего органа управления, иные виды вознаграждения, которые были выплачены акционерным обществом в течение отчетного года, и с указанием размера расходов, связанных с исполнением функций членов органов управления акционерного общества, компенсированных акционерным обществом в течение отчетного года.</w:t>
      </w:r>
      <w:proofErr w:type="gramEnd"/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Если акционерным обществом выплачивалось вознаграждение и (или) компенсировались расходы лицу, которое одновременно являлось членом совета директоров (наблюдательного совета) акционерного общества и входило в состав коллегиального исполнительного органа (правления, дирекции) акционерного общества, выплаченное вознаграждение и (или) компенсированные расходы такого лица, связанные с осуществлением им функций члена совета директоров (наблюдательного совета) акционерного общества, включаются в совокупный размер выплаченного вознаграждения и (или) компенсированных</w:t>
      </w:r>
      <w:proofErr w:type="gramEnd"/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расходов по совету директоров (наблюдательному совету) акционерного общества, а иные виды выплаченного вознаграждения и (или) компенсированных расходов такого лица включаются в совокупный размер вознаграждения и (или) компенсированных расходов по коллегиальному исполнительному органу (правлению, дирекции) акционерного общества;</w:t>
      </w:r>
    </w:p>
    <w:p w:rsidR="00C645FA" w:rsidRPr="00FD30CD" w:rsidRDefault="00282D90" w:rsidP="00C645FA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45FA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обществе не разработан</w:t>
      </w:r>
      <w:r w:rsidR="003C3B85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положение</w:t>
      </w:r>
      <w:r w:rsidR="00C645FA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</w:t>
      </w:r>
      <w:r w:rsidR="003C3B85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645FA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вознаграждению и возмещению расходов (компенсаций) членов совета директоров, исполнительных органов общества и иных ключевых руководящих работников общества</w:t>
      </w:r>
      <w:r w:rsidR="007F4A9A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5532" w:rsidRPr="00FD30CD" w:rsidRDefault="007A382D" w:rsidP="0063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82D90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35532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размере вознаграждения по каждому из органов управления</w:t>
      </w:r>
      <w:r w:rsidR="00341EB2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35532" w:rsidRPr="00FD30CD" w:rsidRDefault="00635532" w:rsidP="0063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Совет директоров</w:t>
      </w:r>
    </w:p>
    <w:p w:rsidR="00635532" w:rsidRPr="00FD30CD" w:rsidRDefault="00635532" w:rsidP="00635532">
      <w:pPr>
        <w:widowControl w:val="0"/>
        <w:autoSpaceDE w:val="0"/>
        <w:autoSpaceDN w:val="0"/>
        <w:adjustRightInd w:val="0"/>
        <w:spacing w:before="20" w:after="40" w:line="240" w:lineRule="auto"/>
        <w:ind w:left="6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Единица измерения:</w:t>
      </w:r>
      <w:r w:rsidRPr="00FD30CD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тыс. руб.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3219"/>
      </w:tblGrid>
      <w:tr w:rsidR="00FD30CD" w:rsidRPr="00FD30CD" w:rsidTr="00065CC4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</w:tr>
      <w:tr w:rsidR="00FD30CD" w:rsidRPr="00FD30CD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Вознаграждение за участие в работе органа управления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D30CD" w:rsidRPr="00FD30CD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FD30CD" w:rsidRDefault="00407E44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2105</w:t>
            </w:r>
          </w:p>
        </w:tc>
      </w:tr>
      <w:tr w:rsidR="00FD30CD" w:rsidRPr="00FD30CD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Премии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D30CD" w:rsidRPr="00FD30CD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Комиссионные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D30CD" w:rsidRPr="00FD30CD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Иные виды вознаграждений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FD30CD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30C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2A6AE9" w:rsidRPr="00FD30CD" w:rsidRDefault="002A6AE9" w:rsidP="002366E1">
      <w:pPr>
        <w:pStyle w:val="a5"/>
        <w:rPr>
          <w:b/>
          <w:color w:val="000000" w:themeColor="text1"/>
          <w:sz w:val="22"/>
          <w:szCs w:val="22"/>
        </w:rPr>
      </w:pPr>
    </w:p>
    <w:p w:rsidR="001424B5" w:rsidRPr="00FD30CD" w:rsidRDefault="00065CC4" w:rsidP="002366E1">
      <w:pPr>
        <w:pStyle w:val="a5"/>
        <w:rPr>
          <w:rFonts w:eastAsiaTheme="minorEastAsia"/>
          <w:bCs/>
          <w:i/>
          <w:iCs/>
          <w:color w:val="000000" w:themeColor="text1"/>
          <w:sz w:val="20"/>
          <w:szCs w:val="20"/>
        </w:rPr>
      </w:pPr>
      <w:r w:rsidRPr="00FD30CD">
        <w:rPr>
          <w:color w:val="000000" w:themeColor="text1"/>
          <w:sz w:val="22"/>
          <w:szCs w:val="22"/>
        </w:rPr>
        <w:t xml:space="preserve">          </w:t>
      </w:r>
      <w:r w:rsidR="002A6AE9" w:rsidRPr="00FD30CD">
        <w:rPr>
          <w:color w:val="000000" w:themeColor="text1"/>
          <w:sz w:val="22"/>
          <w:szCs w:val="22"/>
        </w:rPr>
        <w:t>По результатам отчетного</w:t>
      </w:r>
      <w:r w:rsidR="00400274" w:rsidRPr="00FD30CD">
        <w:rPr>
          <w:color w:val="000000" w:themeColor="text1"/>
          <w:sz w:val="22"/>
          <w:szCs w:val="22"/>
        </w:rPr>
        <w:t xml:space="preserve"> 2019</w:t>
      </w:r>
      <w:r w:rsidR="002A6AE9" w:rsidRPr="00FD30CD">
        <w:rPr>
          <w:color w:val="000000" w:themeColor="text1"/>
          <w:sz w:val="22"/>
          <w:szCs w:val="22"/>
        </w:rPr>
        <w:t xml:space="preserve"> года вознаграждение (компенсации расходов) генеральному директору и членам совета директоров не выплачивалось.</w:t>
      </w:r>
    </w:p>
    <w:p w:rsidR="00065CC4" w:rsidRPr="00FD30CD" w:rsidRDefault="00065CC4" w:rsidP="002366E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       </w:t>
      </w:r>
      <w:r w:rsidR="002366E1" w:rsidRPr="00FD30CD">
        <w:rPr>
          <w:color w:val="000000" w:themeColor="text1"/>
        </w:rPr>
        <w:t>Положения о вознаграждении единоличного исполнительного органа общества и его взаимосвязи с системой ключевых показателей эффективности деятельности общества не рассматривалось советом директоров.</w:t>
      </w:r>
    </w:p>
    <w:p w:rsidR="002366E1" w:rsidRPr="00FD30CD" w:rsidRDefault="00065CC4" w:rsidP="002366E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     </w:t>
      </w:r>
      <w:r w:rsidR="002366E1" w:rsidRPr="00FD30CD">
        <w:rPr>
          <w:bCs/>
          <w:iCs/>
          <w:color w:val="000000" w:themeColor="text1"/>
        </w:rPr>
        <w:t xml:space="preserve"> Соглашений с членами Совета директоров Общества в отношении выплат вознаграждений, и компенсаций не заключалось.</w:t>
      </w:r>
    </w:p>
    <w:p w:rsidR="00072354" w:rsidRPr="00FD30CD" w:rsidRDefault="00664902" w:rsidP="00432E10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432E10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81DD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Сведения (отчет) о соблюдении акционерным обществом принципов и рекомендаций </w:t>
      </w:r>
      <w:hyperlink r:id="rId19" w:history="1">
        <w:r w:rsidR="00072354" w:rsidRPr="00FD30CD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Кодекса</w:t>
        </w:r>
      </w:hyperlink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корпоративного управления, рекомендованного к применению Банком России (далее - Кодекс корпоративного управления);</w:t>
      </w:r>
    </w:p>
    <w:p w:rsidR="00432E10" w:rsidRPr="00FD30CD" w:rsidRDefault="00432E10" w:rsidP="001E2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«Сведения (отчет) о соблюдении акционерным обществом принципов и рекомендаций </w:t>
      </w:r>
      <w:hyperlink r:id="rId20" w:history="1">
        <w:r w:rsidRPr="00FD3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Кодекса</w:t>
        </w:r>
      </w:hyperlink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корпоративного управления, рекомендованного к применению Банком России за 2019 год»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Общество обеспечивает равное и справедливое отношение ко всем акционерам при реализации ими права на участие в управлении обществом: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открытом доступе находится внутренний документ общества, утвержденный общим собранием акционеров и регламентирующий процедуры проведения общего собрания;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предоставляет доступный способ коммуникации с обществом, такой как номер телефона, по которому акционер мог позвонить в рабочее время в Общество, электронная почта, Почта России позволяющий акционерам высказать свое мнение и направить вопросы в отношении повестки дня в процессе подготовки к проведению общего собрания. Указанные действия предпринимались обществом накануне каждого общего собрания, прошедшего в отчетный период;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Сообщение о проведении общего собрания акционеров размещено (опубликовано) на сайте в сети Интернет не менее</w:t>
      </w:r>
      <w:proofErr w:type="gram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за 30 дней до даты проведения общего собрания;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сообщении о проведении собрания указано место проведения собрания и документы, необходимые для допуска в помещение;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Акционерам был обеспечен доступ к информации о том, кем предложены вопросы повестки дня и кем выдвинуты кандидатуры в совет директоров и ревизионную комиссию общества;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отчетном периоде,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Позиция совета директоров (включая внесенные в протокол особые мнения), по каждому вопросу повестки общих собраний, проведенных в отчетных период, была включена в состав материалов к общему собранию акционеров;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предоставляло акционерам, имеющим на это право, доступ к списку лиц, имеющих право на участие в общем собрании, начиная </w:t>
      </w:r>
      <w:proofErr w:type="gram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получения</w:t>
      </w:r>
      <w:proofErr w:type="gram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обществом, во всех случаях проведения общих собраний в отчетном периоде;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отчетном периоде, акционеры имели возможность в течение не менее 30 дней после окончания соответствующего календарного года, вносить предложения для включения в повестку дня годового общего собрания;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в отчетном периоде общих собраний акционеров в форме собрания (совместного присутствия акционеров) предусматривалось достаточное время для докладов по вопросам повестки дня и время для обсуждения этих вопросов;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Кандидаты в органы управления и контроля общества были доступны для ответов на вопросы акционеров на собрании, на котором их кандидатуры были поставлены на голосование;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Система и практика корпоративного управления обеспечивают равенство условий для всех акционеров - владельцев акций одной категории (типа):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создало условия для справедливого отношения к каждому акционеру со стороны органов управления и контролирующих лиц общества, в том числе условия, обеспечивающие недопустимость злоупотреблений со стороны крупных акционеров по отношению к миноритарным акционерам;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не предпринимает действий, которые приводят или могут привести к искусственному перераспределению корпоративного контроля.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Акционерам обеспечены надежные и эффективные способы учета прав на акции, а также возможность свободного и необременительного отчуждения принадлежащих им акций: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Акционерам обеспечены надежные и эффективные способы учета прав на акции, а также возможность свободного и необременительного отчуждения принадлежащих им акций.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Совет директоров имеет закрепленные в уставе полномочия по назначению, освобождению от занимаемой должности и определению условий договоров в отношении единоличного исполнительного органа Общества.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 течение отчетного периода на заседаниях совета директоров были рассмотрены вопросы, связанные с утверждением финансово-хозяйственного отчётности общества.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 обществе не разработана советом директоров политика по вознаграждению и возмещению расходов (компенсаций) членов совета директоров, исполнительных органов общества и иных ключевых руководящих работников общества.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Совет директоров подотчетен акционерам общества.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совета директоров доступен для общения с акционерами общества.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директоров является эффективным и профессиональным органом управления общества, способным выносить объективные независимые суждения и принимать решения, отвечающие интересам общества и его акционеров.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совета директоров общества избираются посредством прозрачной процедуры, позволяющей акционерам получить информацию о кандидатах, достаточную для формирования представления об их личных и профессиональных качествах.</w:t>
      </w:r>
    </w:p>
    <w:p w:rsidR="001E2609" w:rsidRPr="00FD30CD" w:rsidRDefault="001E2609" w:rsidP="001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совета директоров входят 2 независимых директора.</w:t>
      </w:r>
    </w:p>
    <w:p w:rsidR="001E2609" w:rsidRPr="00FD30CD" w:rsidRDefault="001E2609" w:rsidP="001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Независимым директором рекомендуется признавать лицо, которое обладает достаточными профессионализмом, опытом и самостоятельностью для формирования собственной позиции, способно выносить объективные и добросовестные суждения, независимые от влияния исполнительных органов общества, отдельных групп акционеров или иных заинтересованных сторон. При этом следует учитывать, что в обычных условиях не может считаться независимым кандидат (избранный член совета директоров), который связан с обществом, его существенным акционером, существенным контрагентом или конкурентом общества или связан с государством.</w:t>
      </w:r>
    </w:p>
    <w:p w:rsidR="001E2609" w:rsidRPr="00FD30CD" w:rsidRDefault="001E2609" w:rsidP="001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Председателем совета директоров избран независимый директор.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совета директоров обеспечивает конструктивную атмосферу проведения заседаний, свободное обсуждение вопросов, включенных в повестку дня заседания, </w:t>
      </w:r>
      <w:proofErr w:type="gramStart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решений, принятых советом директоров.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совета директоров принимает необходимые меры для своевременного предоставления членам совета директоров информации, необходимой для принятия решений по вопросам повестки дня.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совета директоров действуют добросовестно и разумно в интересах общества и его акционеров на основе достаточной информированности, с должной степенью заботливости и осмотрительности.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обществе принят и опубликован внутренний документ, четко определяющий права и обязанности членов совета директоров.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соответствии с внутренними документами общества члены совета директоров имеют право получать доступ к документам и делать запросы, касающиеся общества и подконтрольных ему организаций, а исполнительные органы общества обязаны предоставлять соответствующую информацию и документы.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Заседания совета директоров, подготовка к ним и участие в них членов совета директоров обеспечивают эффективную деятельность совета директоров: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Заседания совета директоров проводятся по мере необходимости, с учетом масштабов деятельности и стоящих перед обществом в определенный период времени задач. Совет директоров провел не менее восьми заседаний за отчетный год.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внутренних документах общества закреплен порядок подготовки и проведения заседаний совета директоров, обеспечивающий членам совета директоров возможность надлежащим образом подготовиться к его проведению.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обществе утвержден внутренний документ, определяющий процедуру подготовки и проведения заседаний совета директоров, в котором в том числе установлено, что уведомление о проведении заседания должно быть сделано, как правило, за 5 дней до даты его проведения.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Общество и его деятельность являются прозрачными для акционеров, инвесторов и иных заинтересованных лиц.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своевременно раскрывает полную, актуальную и достоверную информацию об обществе для обеспечения возможности принятия обоснованных решений акционерами общества 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Годовой отчет, являясь одним из наиболее важных инструментов информационного взаимодействия с акционерами и другими заинтересованными сторонами, содержит информацию, позволяющую оценить итоги деятельности общества за год.</w:t>
      </w:r>
    </w:p>
    <w:p w:rsidR="001E2609" w:rsidRPr="00FD30CD" w:rsidRDefault="001E2609" w:rsidP="001E2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предоставляет информацию и документы по запросам акционеров в соответствии с принципами равнодоступности и необременительности.</w:t>
      </w:r>
    </w:p>
    <w:p w:rsidR="001E2609" w:rsidRPr="00FD30CD" w:rsidRDefault="001E2609" w:rsidP="001E260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обществом регулярно раскрываются ежеквартальные отчеты эмитента. Основная информация об Обществе  оперативно размещается на странице Общества в сети Интернет по адресу: </w:t>
      </w:r>
      <w:hyperlink r:id="rId21" w:history="1">
        <w:r w:rsidRPr="00FD3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http://www.factor.ru</w:t>
        </w:r>
      </w:hyperlink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 странице Интерфакса: </w:t>
      </w:r>
      <w:hyperlink r:id="rId22" w:history="1">
        <w:r w:rsidRPr="00FD3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http://www.e-iscloure.ru/portal/company.aspx?id=23832</w:t>
        </w:r>
      </w:hyperlink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соответствии с Уставом Общества Ревизионная комиссия Общества обеспечивает соблюдение процедур внутреннего контроля.</w:t>
      </w:r>
    </w:p>
    <w:p w:rsidR="001E2609" w:rsidRPr="00FD30CD" w:rsidRDefault="001E2609" w:rsidP="001E26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Обществе внимательно относятся к обращениям акционеров, как к письмам, телефонным звонкам, так и непосредственно посещениям акционеров. В обязанности сотрудников, входит разъяснение вопросов взаимодействия акцио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неров с Обществом и регистратором Общества.</w:t>
      </w:r>
    </w:p>
    <w:p w:rsidR="001E2609" w:rsidRPr="00FD30CD" w:rsidRDefault="00F352A3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Утверждены «С</w:t>
      </w:r>
      <w:r w:rsidR="001E2609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(отчет) о соблюдении акционерным обществом принципов и рекомендаций </w:t>
      </w:r>
      <w:hyperlink r:id="rId23" w:history="1">
        <w:r w:rsidR="001E2609" w:rsidRPr="00FD3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Кодекса</w:t>
        </w:r>
      </w:hyperlink>
      <w:r w:rsidR="001E2609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корпоративного управления, рекомендованного к применению Банком России за 2019 год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D30C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протокол №3-2020 (151) от 06 марта 2020 года</w:t>
      </w:r>
    </w:p>
    <w:p w:rsidR="00072354" w:rsidRPr="00FD30CD" w:rsidRDefault="006D1BAB" w:rsidP="0084457E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727A0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.Сведения об утверждении годового отчета общим собранием акционеров или советом директоров (наблюдательным советом) акционерного общества, если вопрос об утверждении годового отчета отнесен уставом акционерного общества к его компетенции, а также иную информацию, предусмотренную уставом или внутренним документом акционерного общества</w:t>
      </w:r>
      <w:proofErr w:type="gramStart"/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.(</w:t>
      </w:r>
      <w:proofErr w:type="gramEnd"/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ред. </w:t>
      </w:r>
      <w:hyperlink r:id="rId24" w:history="1">
        <w:r w:rsidR="00072354" w:rsidRPr="00FD30CD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Указания</w:t>
        </w:r>
      </w:hyperlink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Банка России от 16.12.2015 N 3899-У)</w:t>
      </w:r>
    </w:p>
    <w:p w:rsidR="00FC62FB" w:rsidRPr="00FD30CD" w:rsidRDefault="00F16D48" w:rsidP="00612B1B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  </w:t>
      </w:r>
      <w:r w:rsidR="00FC62FB" w:rsidRPr="00FD30CD">
        <w:rPr>
          <w:color w:val="000000" w:themeColor="text1"/>
        </w:rPr>
        <w:t xml:space="preserve">Достоверность </w:t>
      </w:r>
      <w:proofErr w:type="gramStart"/>
      <w:r w:rsidR="00FC62FB" w:rsidRPr="00FD30CD">
        <w:rPr>
          <w:color w:val="000000" w:themeColor="text1"/>
        </w:rPr>
        <w:t>данных, содержащихся в годовом отчете общества за отчетный год подтверждена</w:t>
      </w:r>
      <w:proofErr w:type="gramEnd"/>
      <w:r w:rsidR="00FC62FB" w:rsidRPr="00FD30CD">
        <w:rPr>
          <w:color w:val="000000" w:themeColor="text1"/>
        </w:rPr>
        <w:t xml:space="preserve"> Ревизионной</w:t>
      </w:r>
      <w:r w:rsidR="00612B1B" w:rsidRPr="00FD30CD">
        <w:rPr>
          <w:color w:val="000000" w:themeColor="text1"/>
        </w:rPr>
        <w:t xml:space="preserve"> </w:t>
      </w:r>
      <w:r w:rsidR="00FC62FB" w:rsidRPr="00FD30CD">
        <w:rPr>
          <w:color w:val="000000" w:themeColor="text1"/>
        </w:rPr>
        <w:t xml:space="preserve"> Комиссии общества</w:t>
      </w:r>
      <w:r w:rsidR="00091E99" w:rsidRPr="00FD30CD">
        <w:rPr>
          <w:color w:val="000000" w:themeColor="text1"/>
        </w:rPr>
        <w:t xml:space="preserve"> </w:t>
      </w:r>
      <w:r w:rsidR="00FC62FB" w:rsidRPr="00FD30CD">
        <w:rPr>
          <w:color w:val="000000" w:themeColor="text1"/>
        </w:rPr>
        <w:t>от «19» марта 2020 г</w:t>
      </w:r>
    </w:p>
    <w:p w:rsidR="0084457E" w:rsidRPr="00FD30CD" w:rsidRDefault="00F16D48" w:rsidP="00612B1B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lastRenderedPageBreak/>
        <w:t xml:space="preserve">    </w:t>
      </w:r>
      <w:r w:rsidR="00FC62FB" w:rsidRPr="00FD30CD">
        <w:rPr>
          <w:color w:val="000000" w:themeColor="text1"/>
        </w:rPr>
        <w:t>Годовой отчет общества предварительно   «Утвержден»  Советом  директоров Общества протоколом № 8-2020(156)     от "24 " июля  2020 г</w:t>
      </w:r>
      <w:r w:rsidR="00382F72" w:rsidRPr="00FD30CD">
        <w:rPr>
          <w:color w:val="000000" w:themeColor="text1"/>
        </w:rPr>
        <w:t>ода и рекомендован общему собранию акционеров</w:t>
      </w:r>
      <w:r w:rsidR="00062CF0" w:rsidRPr="00FD30CD">
        <w:rPr>
          <w:color w:val="000000" w:themeColor="text1"/>
        </w:rPr>
        <w:t>.</w:t>
      </w:r>
    </w:p>
    <w:p w:rsidR="00F16D48" w:rsidRPr="00FD30CD" w:rsidRDefault="00062CF0" w:rsidP="00F16D48">
      <w:pPr>
        <w:pStyle w:val="a5"/>
        <w:rPr>
          <w:color w:val="000000" w:themeColor="text1"/>
        </w:rPr>
      </w:pPr>
      <w:r w:rsidRPr="00FD30CD">
        <w:rPr>
          <w:color w:val="000000" w:themeColor="text1"/>
          <w:sz w:val="28"/>
          <w:szCs w:val="28"/>
        </w:rPr>
        <w:t xml:space="preserve"> </w:t>
      </w:r>
      <w:r w:rsidR="002435A5" w:rsidRPr="00FD30CD">
        <w:rPr>
          <w:color w:val="000000" w:themeColor="text1"/>
          <w:sz w:val="28"/>
          <w:szCs w:val="28"/>
        </w:rPr>
        <w:t xml:space="preserve"> </w:t>
      </w:r>
      <w:r w:rsidR="00F16D48" w:rsidRPr="00FD30CD">
        <w:rPr>
          <w:color w:val="000000" w:themeColor="text1"/>
          <w:sz w:val="28"/>
          <w:szCs w:val="28"/>
        </w:rPr>
        <w:t xml:space="preserve">  </w:t>
      </w:r>
      <w:r w:rsidR="00F16D48" w:rsidRPr="00FD30CD">
        <w:rPr>
          <w:color w:val="000000" w:themeColor="text1"/>
        </w:rPr>
        <w:t xml:space="preserve">Годовой отчет общества утверждается общим собранием акционеров </w:t>
      </w:r>
      <w:r w:rsidR="00FA2787" w:rsidRPr="00FD30CD">
        <w:rPr>
          <w:color w:val="000000" w:themeColor="text1"/>
        </w:rPr>
        <w:t>«</w:t>
      </w:r>
      <w:r w:rsidR="00F16D48" w:rsidRPr="00FD30CD">
        <w:rPr>
          <w:color w:val="000000" w:themeColor="text1"/>
        </w:rPr>
        <w:t>25</w:t>
      </w:r>
      <w:r w:rsidR="00FA2787" w:rsidRPr="00FD30CD">
        <w:rPr>
          <w:color w:val="000000" w:themeColor="text1"/>
        </w:rPr>
        <w:t>»</w:t>
      </w:r>
      <w:r w:rsidR="00F16D48" w:rsidRPr="00FD30CD">
        <w:rPr>
          <w:color w:val="000000" w:themeColor="text1"/>
        </w:rPr>
        <w:t xml:space="preserve"> сентября 2020 года. </w:t>
      </w:r>
    </w:p>
    <w:p w:rsidR="00F16D48" w:rsidRPr="00FD30CD" w:rsidRDefault="00F16D48" w:rsidP="00244DB5">
      <w:pPr>
        <w:pStyle w:val="a5"/>
        <w:rPr>
          <w:rFonts w:eastAsiaTheme="minorEastAsia"/>
          <w:color w:val="000000" w:themeColor="text1"/>
        </w:rPr>
      </w:pPr>
      <w:r w:rsidRPr="00FD30CD">
        <w:rPr>
          <w:color w:val="000000" w:themeColor="text1"/>
        </w:rPr>
        <w:t xml:space="preserve">     Годовой отчет общества публикуется на странице в сети Интернет используемой для раскрытия информации;</w:t>
      </w:r>
      <w:r w:rsidRPr="00FD30CD">
        <w:rPr>
          <w:rFonts w:eastAsiaTheme="minorEastAsia"/>
          <w:color w:val="000000" w:themeColor="text1"/>
        </w:rPr>
        <w:t xml:space="preserve"> www.e-iscloure.ru/</w:t>
      </w:r>
      <w:proofErr w:type="spellStart"/>
      <w:r w:rsidRPr="00FD30CD">
        <w:rPr>
          <w:rFonts w:eastAsiaTheme="minorEastAsia"/>
          <w:color w:val="000000" w:themeColor="text1"/>
        </w:rPr>
        <w:t>portal</w:t>
      </w:r>
      <w:proofErr w:type="spellEnd"/>
      <w:r w:rsidRPr="00FD30CD">
        <w:rPr>
          <w:rFonts w:eastAsiaTheme="minorEastAsia"/>
          <w:color w:val="000000" w:themeColor="text1"/>
        </w:rPr>
        <w:t>/</w:t>
      </w:r>
      <w:proofErr w:type="spellStart"/>
      <w:r w:rsidRPr="00FD30CD">
        <w:rPr>
          <w:rFonts w:eastAsiaTheme="minorEastAsia"/>
          <w:color w:val="000000" w:themeColor="text1"/>
        </w:rPr>
        <w:t>company.aspx?id</w:t>
      </w:r>
      <w:proofErr w:type="spellEnd"/>
      <w:r w:rsidRPr="00FD30CD">
        <w:rPr>
          <w:rFonts w:eastAsiaTheme="minorEastAsia"/>
          <w:color w:val="000000" w:themeColor="text1"/>
        </w:rPr>
        <w:t xml:space="preserve">=23832, </w:t>
      </w:r>
    </w:p>
    <w:p w:rsidR="00F16D48" w:rsidRPr="00FD30CD" w:rsidRDefault="00F16D48" w:rsidP="00244DB5">
      <w:pPr>
        <w:pStyle w:val="a5"/>
        <w:rPr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на сайте общества:</w:t>
      </w:r>
      <w:r w:rsidR="00C804C6">
        <w:rPr>
          <w:rFonts w:eastAsiaTheme="minorEastAsia"/>
          <w:color w:val="000000" w:themeColor="text1"/>
        </w:rPr>
        <w:t xml:space="preserve"> </w:t>
      </w:r>
      <w:r w:rsidRPr="00FD30CD">
        <w:rPr>
          <w:rFonts w:eastAsiaTheme="minorEastAsia"/>
          <w:color w:val="000000" w:themeColor="text1"/>
        </w:rPr>
        <w:t>www.factor.ru</w:t>
      </w:r>
    </w:p>
    <w:p w:rsidR="002435A5" w:rsidRPr="00FD30CD" w:rsidRDefault="00A045F4" w:rsidP="00244DB5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C3530" w:rsidRPr="00FD30CD">
        <w:rPr>
          <w:color w:val="000000" w:themeColor="text1"/>
        </w:rPr>
        <w:t>Годовой отчет общества</w:t>
      </w:r>
      <w:r>
        <w:rPr>
          <w:color w:val="000000" w:themeColor="text1"/>
        </w:rPr>
        <w:t xml:space="preserve"> составлен по итогам бухгалтерского (финансового) 2019 года,</w:t>
      </w:r>
      <w:r w:rsidR="00DC3530" w:rsidRPr="00FD30CD">
        <w:rPr>
          <w:color w:val="000000" w:themeColor="text1"/>
        </w:rPr>
        <w:t xml:space="preserve"> подпис</w:t>
      </w:r>
      <w:r>
        <w:rPr>
          <w:color w:val="000000" w:themeColor="text1"/>
        </w:rPr>
        <w:t>ан</w:t>
      </w:r>
      <w:r w:rsidR="00DC3530" w:rsidRPr="00FD30CD">
        <w:rPr>
          <w:color w:val="000000" w:themeColor="text1"/>
        </w:rPr>
        <w:t xml:space="preserve"> генеральным директором общества</w:t>
      </w:r>
      <w:r>
        <w:rPr>
          <w:color w:val="000000" w:themeColor="text1"/>
        </w:rPr>
        <w:t>,</w:t>
      </w:r>
      <w:r w:rsidR="00DC3530" w:rsidRPr="00FD30CD">
        <w:rPr>
          <w:color w:val="000000" w:themeColor="text1"/>
        </w:rPr>
        <w:t xml:space="preserve"> представл</w:t>
      </w:r>
      <w:r>
        <w:rPr>
          <w:color w:val="000000" w:themeColor="text1"/>
        </w:rPr>
        <w:t>ен</w:t>
      </w:r>
      <w:r w:rsidR="00DC3530" w:rsidRPr="00FD30CD">
        <w:rPr>
          <w:color w:val="000000" w:themeColor="text1"/>
        </w:rPr>
        <w:t xml:space="preserve"> общему собранию</w:t>
      </w:r>
      <w:r w:rsidR="00FA2787" w:rsidRPr="00FD30CD">
        <w:rPr>
          <w:color w:val="000000" w:themeColor="text1"/>
        </w:rPr>
        <w:t xml:space="preserve"> </w:t>
      </w:r>
      <w:r w:rsidR="00DC3530" w:rsidRPr="00FD30CD">
        <w:rPr>
          <w:color w:val="000000" w:themeColor="text1"/>
        </w:rPr>
        <w:t>акционеров.</w:t>
      </w:r>
    </w:p>
    <w:p w:rsidR="00DC3530" w:rsidRPr="00FD30CD" w:rsidRDefault="00DC3530" w:rsidP="00244DB5">
      <w:pPr>
        <w:pStyle w:val="a5"/>
        <w:rPr>
          <w:color w:val="000000" w:themeColor="text1"/>
        </w:rPr>
      </w:pPr>
    </w:p>
    <w:p w:rsidR="00DC3530" w:rsidRDefault="00B328D1" w:rsidP="00244DB5">
      <w:pPr>
        <w:pStyle w:val="a5"/>
        <w:rPr>
          <w:b/>
          <w:color w:val="000000" w:themeColor="text1"/>
          <w:sz w:val="28"/>
          <w:szCs w:val="28"/>
        </w:rPr>
      </w:pPr>
      <w:r w:rsidRPr="00B328D1">
        <w:rPr>
          <w:b/>
          <w:color w:val="000000" w:themeColor="text1"/>
          <w:sz w:val="28"/>
          <w:szCs w:val="28"/>
        </w:rPr>
        <w:t>16 .Контактная информация</w:t>
      </w:r>
    </w:p>
    <w:p w:rsidR="00F12F1C" w:rsidRDefault="00F12F1C" w:rsidP="00DD0111">
      <w:pPr>
        <w:pStyle w:val="a5"/>
        <w:rPr>
          <w:color w:val="000000" w:themeColor="text1"/>
        </w:rPr>
      </w:pPr>
    </w:p>
    <w:p w:rsidR="00DD0111" w:rsidRPr="00F12F1C" w:rsidRDefault="00DD0111" w:rsidP="00DD0111">
      <w:pPr>
        <w:pStyle w:val="a5"/>
        <w:rPr>
          <w:color w:val="000000" w:themeColor="text1"/>
        </w:rPr>
      </w:pPr>
      <w:r w:rsidRPr="00F12F1C">
        <w:rPr>
          <w:color w:val="000000" w:themeColor="text1"/>
        </w:rPr>
        <w:t xml:space="preserve">1.Публичное акционерное общество «Фонд Ковчег». </w:t>
      </w:r>
    </w:p>
    <w:p w:rsidR="00DD0111" w:rsidRPr="00F12F1C" w:rsidRDefault="00DD0111" w:rsidP="00DD0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Местонахождение: Российская Федерация, 660099, г. Красноярск ул. Железнодорожников, дом 20 «Г», офис 193, контактный телефон: (391)221-77-45,факс:(391)221-62-66,</w:t>
      </w:r>
    </w:p>
    <w:p w:rsidR="00DD0111" w:rsidRPr="00F12F1C" w:rsidRDefault="00DD0111" w:rsidP="00DD0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kovcheg</w:t>
      </w:r>
      <w:proofErr w:type="spellEnd"/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factor</w:t>
      </w: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F12F1C" w:rsidRDefault="00DD0111" w:rsidP="00DD0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2.Реестродержатель общества:</w:t>
      </w: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Красноярский филиал АО ВТБ Регистратор адрес:</w:t>
      </w:r>
    </w:p>
    <w:p w:rsidR="00DD0111" w:rsidRPr="00F12F1C" w:rsidRDefault="00DD0111" w:rsidP="00DD0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660049, г. Красноярск, ул. Урицкого, 117, офис. 213, тел.8(391) 229-53-57</w:t>
      </w:r>
    </w:p>
    <w:p w:rsidR="00AE5409" w:rsidRDefault="00DD0111" w:rsidP="00DD0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3.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Аудитор общества:</w:t>
      </w:r>
      <w:r w:rsidR="002F1829" w:rsidRPr="00F12F1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ограниченной ответственностью «Траст-Аудит»</w:t>
      </w:r>
    </w:p>
    <w:p w:rsidR="00DD0111" w:rsidRPr="00F12F1C" w:rsidRDefault="00AE5409" w:rsidP="00DD0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есто нахождения: 660060, г. Красноярск, ул. Кирова дом 43, офис 303</w:t>
      </w:r>
      <w:r w:rsidR="00DD0111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5" w:history="1"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maxxwell</w:t>
        </w:r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list</w:t>
        </w:r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, тел. (391)223-53-15, 223-53-14</w:t>
      </w:r>
    </w:p>
    <w:p w:rsidR="00F12F1C" w:rsidRPr="00F12F1C" w:rsidRDefault="00DD0111" w:rsidP="00DD0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4.Контактное лицо для обращения по вопросам относительно данного отчета: Демченко Наталья Викторовна - специалист по работе с акционерами тел.+7 (391)221-85-22</w:t>
      </w:r>
      <w:r w:rsidR="00F12F1C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2F1C" w:rsidRPr="00F12F1C" w:rsidRDefault="00F12F1C" w:rsidP="00F12F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5.На странице в сети Интернет используемой для раскрытия информации;</w:t>
      </w:r>
      <w:r w:rsidRPr="00F12F1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www.e-iscloure.ru/</w:t>
      </w:r>
      <w:proofErr w:type="spellStart"/>
      <w:r w:rsidRPr="00F12F1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portal</w:t>
      </w:r>
      <w:proofErr w:type="spellEnd"/>
      <w:r w:rsidRPr="00F12F1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2F1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company.aspx?id</w:t>
      </w:r>
      <w:proofErr w:type="spellEnd"/>
      <w:r w:rsidRPr="00F12F1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=23832, на сайте </w:t>
      </w:r>
      <w:proofErr w:type="spellStart"/>
      <w:r w:rsidRPr="00F12F1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общества:www.factor.ru</w:t>
      </w:r>
      <w:proofErr w:type="spellEnd"/>
    </w:p>
    <w:p w:rsidR="00DC3530" w:rsidRPr="00F12F1C" w:rsidRDefault="00DC3530" w:rsidP="00244DB5">
      <w:pPr>
        <w:pStyle w:val="a5"/>
        <w:rPr>
          <w:color w:val="000000" w:themeColor="text1"/>
        </w:rPr>
      </w:pPr>
    </w:p>
    <w:p w:rsidR="00DD0111" w:rsidRPr="00F12F1C" w:rsidRDefault="00DD0111" w:rsidP="00244DB5">
      <w:pPr>
        <w:pStyle w:val="a5"/>
        <w:rPr>
          <w:color w:val="000000" w:themeColor="text1"/>
        </w:rPr>
      </w:pPr>
    </w:p>
    <w:p w:rsidR="007872F4" w:rsidRPr="00F12F1C" w:rsidRDefault="002435A5" w:rsidP="00244DB5">
      <w:pPr>
        <w:pStyle w:val="a5"/>
        <w:rPr>
          <w:color w:val="000000" w:themeColor="text1"/>
        </w:rPr>
      </w:pPr>
      <w:r w:rsidRPr="00F12F1C">
        <w:rPr>
          <w:color w:val="000000" w:themeColor="text1"/>
        </w:rPr>
        <w:t>Генеральный директор ПАО «Фонд Ковчег _____________                      Колбасник И.И.</w:t>
      </w:r>
    </w:p>
    <w:p w:rsidR="00B328D1" w:rsidRPr="00F12F1C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Default="00B328D1" w:rsidP="00244DB5">
      <w:pPr>
        <w:pStyle w:val="a5"/>
        <w:rPr>
          <w:color w:val="000000" w:themeColor="text1"/>
        </w:rPr>
      </w:pPr>
    </w:p>
    <w:p w:rsidR="00B328D1" w:rsidRPr="00FD30CD" w:rsidRDefault="00B328D1" w:rsidP="00B328D1">
      <w:pPr>
        <w:pStyle w:val="a5"/>
        <w:jc w:val="center"/>
        <w:rPr>
          <w:rFonts w:ascii="Arial Narrow" w:hAnsi="Arial Narrow" w:cs="Arial Narrow"/>
          <w:color w:val="000000" w:themeColor="text1"/>
        </w:rPr>
      </w:pPr>
    </w:p>
    <w:sectPr w:rsidR="00B328D1" w:rsidRPr="00FD30CD" w:rsidSect="00435462">
      <w:pgSz w:w="12240" w:h="15840"/>
      <w:pgMar w:top="425" w:right="1183" w:bottom="850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egacy w:legacy="1" w:legacySpace="0" w:legacyIndent="0"/>
      <w:lvlJc w:val="left"/>
      <w:pPr>
        <w:tabs>
          <w:tab w:val="num" w:pos="868"/>
        </w:tabs>
        <w:ind w:left="868" w:hanging="300"/>
      </w:pPr>
    </w:lvl>
  </w:abstractNum>
  <w:abstractNum w:abstractNumId="1">
    <w:nsid w:val="1C8A7EDE"/>
    <w:multiLevelType w:val="hybridMultilevel"/>
    <w:tmpl w:val="A9582462"/>
    <w:lvl w:ilvl="0" w:tplc="161EE9B0">
      <w:start w:val="1"/>
      <w:numFmt w:val="decimal"/>
      <w:lvlText w:val="%1)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FC4001E"/>
    <w:multiLevelType w:val="hybridMultilevel"/>
    <w:tmpl w:val="2CD6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2472"/>
    <w:multiLevelType w:val="hybridMultilevel"/>
    <w:tmpl w:val="05D63540"/>
    <w:lvl w:ilvl="0" w:tplc="A74C7A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238A8"/>
    <w:multiLevelType w:val="hybridMultilevel"/>
    <w:tmpl w:val="B224A35C"/>
    <w:lvl w:ilvl="0" w:tplc="28FE0D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A12D6"/>
    <w:multiLevelType w:val="hybridMultilevel"/>
    <w:tmpl w:val="64CE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87A55"/>
    <w:multiLevelType w:val="hybridMultilevel"/>
    <w:tmpl w:val="4C0CBC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25"/>
    <w:rsid w:val="000000E6"/>
    <w:rsid w:val="00004E90"/>
    <w:rsid w:val="000063DC"/>
    <w:rsid w:val="00006D2E"/>
    <w:rsid w:val="000072B5"/>
    <w:rsid w:val="00007E1A"/>
    <w:rsid w:val="000115EA"/>
    <w:rsid w:val="00013422"/>
    <w:rsid w:val="0001399A"/>
    <w:rsid w:val="0001401F"/>
    <w:rsid w:val="0002331C"/>
    <w:rsid w:val="00026247"/>
    <w:rsid w:val="000276EB"/>
    <w:rsid w:val="00045CA2"/>
    <w:rsid w:val="00052173"/>
    <w:rsid w:val="00057800"/>
    <w:rsid w:val="000578BF"/>
    <w:rsid w:val="00062CF0"/>
    <w:rsid w:val="00063F92"/>
    <w:rsid w:val="00063F97"/>
    <w:rsid w:val="00065CC4"/>
    <w:rsid w:val="00072354"/>
    <w:rsid w:val="0007402F"/>
    <w:rsid w:val="00077B47"/>
    <w:rsid w:val="0008031E"/>
    <w:rsid w:val="00081B65"/>
    <w:rsid w:val="000837A3"/>
    <w:rsid w:val="00084429"/>
    <w:rsid w:val="00084801"/>
    <w:rsid w:val="00091E99"/>
    <w:rsid w:val="00093DE9"/>
    <w:rsid w:val="000A1CD8"/>
    <w:rsid w:val="000C2790"/>
    <w:rsid w:val="000C4AE3"/>
    <w:rsid w:val="000E1C80"/>
    <w:rsid w:val="000E3C24"/>
    <w:rsid w:val="000E4BC0"/>
    <w:rsid w:val="000E5859"/>
    <w:rsid w:val="000F583D"/>
    <w:rsid w:val="000F6DAC"/>
    <w:rsid w:val="00100F35"/>
    <w:rsid w:val="0010321F"/>
    <w:rsid w:val="00105982"/>
    <w:rsid w:val="0010653B"/>
    <w:rsid w:val="00111B29"/>
    <w:rsid w:val="00112DD0"/>
    <w:rsid w:val="0011392D"/>
    <w:rsid w:val="001148BF"/>
    <w:rsid w:val="00114B30"/>
    <w:rsid w:val="00115508"/>
    <w:rsid w:val="001179D4"/>
    <w:rsid w:val="0012061C"/>
    <w:rsid w:val="00121CB0"/>
    <w:rsid w:val="00126BF3"/>
    <w:rsid w:val="00132A4B"/>
    <w:rsid w:val="00140CF1"/>
    <w:rsid w:val="001424B5"/>
    <w:rsid w:val="001469E3"/>
    <w:rsid w:val="00153977"/>
    <w:rsid w:val="00160385"/>
    <w:rsid w:val="00161AB0"/>
    <w:rsid w:val="001661CB"/>
    <w:rsid w:val="001702EA"/>
    <w:rsid w:val="00171F15"/>
    <w:rsid w:val="001727A0"/>
    <w:rsid w:val="001779BC"/>
    <w:rsid w:val="0018357B"/>
    <w:rsid w:val="0018467D"/>
    <w:rsid w:val="001A1D8B"/>
    <w:rsid w:val="001A3082"/>
    <w:rsid w:val="001A7B0E"/>
    <w:rsid w:val="001C3F75"/>
    <w:rsid w:val="001C45A2"/>
    <w:rsid w:val="001D59F3"/>
    <w:rsid w:val="001D6372"/>
    <w:rsid w:val="001D7EC6"/>
    <w:rsid w:val="001E2609"/>
    <w:rsid w:val="001E5638"/>
    <w:rsid w:val="001F185D"/>
    <w:rsid w:val="001F1E55"/>
    <w:rsid w:val="001F2F9C"/>
    <w:rsid w:val="001F69C2"/>
    <w:rsid w:val="00200787"/>
    <w:rsid w:val="002015F7"/>
    <w:rsid w:val="0020580A"/>
    <w:rsid w:val="00217E72"/>
    <w:rsid w:val="002231DC"/>
    <w:rsid w:val="00235304"/>
    <w:rsid w:val="002366E1"/>
    <w:rsid w:val="002435A5"/>
    <w:rsid w:val="00244DB5"/>
    <w:rsid w:val="00254455"/>
    <w:rsid w:val="002606DC"/>
    <w:rsid w:val="00262511"/>
    <w:rsid w:val="00263511"/>
    <w:rsid w:val="0027069D"/>
    <w:rsid w:val="0027393B"/>
    <w:rsid w:val="002769F8"/>
    <w:rsid w:val="00276E34"/>
    <w:rsid w:val="00282D90"/>
    <w:rsid w:val="00284642"/>
    <w:rsid w:val="00291C15"/>
    <w:rsid w:val="00295F23"/>
    <w:rsid w:val="002976CF"/>
    <w:rsid w:val="002A0F16"/>
    <w:rsid w:val="002A6285"/>
    <w:rsid w:val="002A6AE9"/>
    <w:rsid w:val="002B61CB"/>
    <w:rsid w:val="002C27BE"/>
    <w:rsid w:val="002D08C9"/>
    <w:rsid w:val="002D6BD8"/>
    <w:rsid w:val="002E209D"/>
    <w:rsid w:val="002E42B6"/>
    <w:rsid w:val="002E5A02"/>
    <w:rsid w:val="002F04E3"/>
    <w:rsid w:val="002F1829"/>
    <w:rsid w:val="002F6BB2"/>
    <w:rsid w:val="002F7E43"/>
    <w:rsid w:val="0030078F"/>
    <w:rsid w:val="00303DB0"/>
    <w:rsid w:val="00306A63"/>
    <w:rsid w:val="00310004"/>
    <w:rsid w:val="00312D86"/>
    <w:rsid w:val="00315F8C"/>
    <w:rsid w:val="00317E2D"/>
    <w:rsid w:val="00321CA6"/>
    <w:rsid w:val="003336DD"/>
    <w:rsid w:val="00335DE2"/>
    <w:rsid w:val="003375EE"/>
    <w:rsid w:val="00341EB2"/>
    <w:rsid w:val="00360551"/>
    <w:rsid w:val="0036269A"/>
    <w:rsid w:val="003640E5"/>
    <w:rsid w:val="00367BC3"/>
    <w:rsid w:val="003708B5"/>
    <w:rsid w:val="003709B3"/>
    <w:rsid w:val="00376A58"/>
    <w:rsid w:val="00380B1B"/>
    <w:rsid w:val="00381375"/>
    <w:rsid w:val="00382F72"/>
    <w:rsid w:val="00384F3A"/>
    <w:rsid w:val="00385604"/>
    <w:rsid w:val="003906BF"/>
    <w:rsid w:val="00393277"/>
    <w:rsid w:val="003956CD"/>
    <w:rsid w:val="003967FC"/>
    <w:rsid w:val="00396D18"/>
    <w:rsid w:val="00396D21"/>
    <w:rsid w:val="003A0468"/>
    <w:rsid w:val="003A2363"/>
    <w:rsid w:val="003A46A4"/>
    <w:rsid w:val="003A6CA7"/>
    <w:rsid w:val="003B0B22"/>
    <w:rsid w:val="003B35FD"/>
    <w:rsid w:val="003B6996"/>
    <w:rsid w:val="003B76E1"/>
    <w:rsid w:val="003B7BCD"/>
    <w:rsid w:val="003C3B85"/>
    <w:rsid w:val="003C5924"/>
    <w:rsid w:val="003C751F"/>
    <w:rsid w:val="003C79B2"/>
    <w:rsid w:val="003E3740"/>
    <w:rsid w:val="003F0108"/>
    <w:rsid w:val="003F7978"/>
    <w:rsid w:val="00400274"/>
    <w:rsid w:val="004004B2"/>
    <w:rsid w:val="00401016"/>
    <w:rsid w:val="00402F1E"/>
    <w:rsid w:val="00403FDC"/>
    <w:rsid w:val="00407E44"/>
    <w:rsid w:val="0041053F"/>
    <w:rsid w:val="00414E81"/>
    <w:rsid w:val="00415FB3"/>
    <w:rsid w:val="00423B8D"/>
    <w:rsid w:val="00432E10"/>
    <w:rsid w:val="00435462"/>
    <w:rsid w:val="004378AE"/>
    <w:rsid w:val="00447095"/>
    <w:rsid w:val="004547A4"/>
    <w:rsid w:val="004671D0"/>
    <w:rsid w:val="00473145"/>
    <w:rsid w:val="00474109"/>
    <w:rsid w:val="004751DE"/>
    <w:rsid w:val="00475389"/>
    <w:rsid w:val="0047683F"/>
    <w:rsid w:val="00476B0A"/>
    <w:rsid w:val="004807F5"/>
    <w:rsid w:val="004853F3"/>
    <w:rsid w:val="004931C8"/>
    <w:rsid w:val="00493C6C"/>
    <w:rsid w:val="00495BD3"/>
    <w:rsid w:val="004A0B97"/>
    <w:rsid w:val="004A3BCE"/>
    <w:rsid w:val="004A40E9"/>
    <w:rsid w:val="004B3684"/>
    <w:rsid w:val="004B6313"/>
    <w:rsid w:val="004C1FB5"/>
    <w:rsid w:val="004D1DC8"/>
    <w:rsid w:val="004D4465"/>
    <w:rsid w:val="004D4A11"/>
    <w:rsid w:val="004D615C"/>
    <w:rsid w:val="004E1870"/>
    <w:rsid w:val="004F1D25"/>
    <w:rsid w:val="004F2701"/>
    <w:rsid w:val="004F31C9"/>
    <w:rsid w:val="00505CF4"/>
    <w:rsid w:val="005060A8"/>
    <w:rsid w:val="0051085A"/>
    <w:rsid w:val="005125A1"/>
    <w:rsid w:val="0051636B"/>
    <w:rsid w:val="005217F7"/>
    <w:rsid w:val="00525756"/>
    <w:rsid w:val="00525F87"/>
    <w:rsid w:val="00536084"/>
    <w:rsid w:val="00536A39"/>
    <w:rsid w:val="005378FF"/>
    <w:rsid w:val="00542EA9"/>
    <w:rsid w:val="00544D0C"/>
    <w:rsid w:val="00545A32"/>
    <w:rsid w:val="0056281C"/>
    <w:rsid w:val="00562BD6"/>
    <w:rsid w:val="00571164"/>
    <w:rsid w:val="00572B6D"/>
    <w:rsid w:val="00581DD4"/>
    <w:rsid w:val="005864D6"/>
    <w:rsid w:val="00587BC0"/>
    <w:rsid w:val="00590ACE"/>
    <w:rsid w:val="005929CF"/>
    <w:rsid w:val="00594548"/>
    <w:rsid w:val="00596122"/>
    <w:rsid w:val="005A46A1"/>
    <w:rsid w:val="005B0788"/>
    <w:rsid w:val="005B44BE"/>
    <w:rsid w:val="005C69C0"/>
    <w:rsid w:val="005C7780"/>
    <w:rsid w:val="005D1F4F"/>
    <w:rsid w:val="005D5E58"/>
    <w:rsid w:val="005E3C8E"/>
    <w:rsid w:val="005E6A77"/>
    <w:rsid w:val="005F5E3B"/>
    <w:rsid w:val="005F7572"/>
    <w:rsid w:val="00604223"/>
    <w:rsid w:val="00607402"/>
    <w:rsid w:val="00612B1B"/>
    <w:rsid w:val="006235E6"/>
    <w:rsid w:val="00624566"/>
    <w:rsid w:val="00633134"/>
    <w:rsid w:val="00635532"/>
    <w:rsid w:val="0063641E"/>
    <w:rsid w:val="00645658"/>
    <w:rsid w:val="00647C69"/>
    <w:rsid w:val="006503FB"/>
    <w:rsid w:val="00650943"/>
    <w:rsid w:val="006527D2"/>
    <w:rsid w:val="00652936"/>
    <w:rsid w:val="0065399C"/>
    <w:rsid w:val="00654334"/>
    <w:rsid w:val="00657793"/>
    <w:rsid w:val="00662C79"/>
    <w:rsid w:val="00664902"/>
    <w:rsid w:val="006649FC"/>
    <w:rsid w:val="006728A1"/>
    <w:rsid w:val="00686A49"/>
    <w:rsid w:val="00686D1D"/>
    <w:rsid w:val="00687CE4"/>
    <w:rsid w:val="00696563"/>
    <w:rsid w:val="00697C55"/>
    <w:rsid w:val="006A22AB"/>
    <w:rsid w:val="006A540A"/>
    <w:rsid w:val="006A6A27"/>
    <w:rsid w:val="006A71A8"/>
    <w:rsid w:val="006B1CF3"/>
    <w:rsid w:val="006B70A8"/>
    <w:rsid w:val="006C0078"/>
    <w:rsid w:val="006D1BAB"/>
    <w:rsid w:val="006D27AA"/>
    <w:rsid w:val="006D72EE"/>
    <w:rsid w:val="006E4F3D"/>
    <w:rsid w:val="00701FF2"/>
    <w:rsid w:val="00711F3B"/>
    <w:rsid w:val="007140E8"/>
    <w:rsid w:val="007202A6"/>
    <w:rsid w:val="00724FCD"/>
    <w:rsid w:val="00731ED1"/>
    <w:rsid w:val="00735346"/>
    <w:rsid w:val="00745E12"/>
    <w:rsid w:val="00747809"/>
    <w:rsid w:val="00760492"/>
    <w:rsid w:val="00760981"/>
    <w:rsid w:val="007647D7"/>
    <w:rsid w:val="00771485"/>
    <w:rsid w:val="0077344B"/>
    <w:rsid w:val="0077533D"/>
    <w:rsid w:val="00775D00"/>
    <w:rsid w:val="00781AA4"/>
    <w:rsid w:val="007838F3"/>
    <w:rsid w:val="00784E39"/>
    <w:rsid w:val="00786C48"/>
    <w:rsid w:val="007872F4"/>
    <w:rsid w:val="00790419"/>
    <w:rsid w:val="007977A4"/>
    <w:rsid w:val="00797FC2"/>
    <w:rsid w:val="007A08B2"/>
    <w:rsid w:val="007A1C48"/>
    <w:rsid w:val="007A259F"/>
    <w:rsid w:val="007A382D"/>
    <w:rsid w:val="007A5E7D"/>
    <w:rsid w:val="007A6D4A"/>
    <w:rsid w:val="007A7E5B"/>
    <w:rsid w:val="007B433B"/>
    <w:rsid w:val="007B4CC0"/>
    <w:rsid w:val="007B5831"/>
    <w:rsid w:val="007C4364"/>
    <w:rsid w:val="007C5B6A"/>
    <w:rsid w:val="007D2564"/>
    <w:rsid w:val="007D338A"/>
    <w:rsid w:val="007D38F5"/>
    <w:rsid w:val="007D4EBA"/>
    <w:rsid w:val="007D602E"/>
    <w:rsid w:val="007D7309"/>
    <w:rsid w:val="007E7C0F"/>
    <w:rsid w:val="007E7F10"/>
    <w:rsid w:val="007F0171"/>
    <w:rsid w:val="007F0D05"/>
    <w:rsid w:val="007F1BA3"/>
    <w:rsid w:val="007F3427"/>
    <w:rsid w:val="007F3697"/>
    <w:rsid w:val="007F4A9A"/>
    <w:rsid w:val="007F55D4"/>
    <w:rsid w:val="007F584B"/>
    <w:rsid w:val="0080379E"/>
    <w:rsid w:val="00813B2F"/>
    <w:rsid w:val="00814B0C"/>
    <w:rsid w:val="008177E5"/>
    <w:rsid w:val="008212D8"/>
    <w:rsid w:val="008223C6"/>
    <w:rsid w:val="00830009"/>
    <w:rsid w:val="00833D09"/>
    <w:rsid w:val="0084457E"/>
    <w:rsid w:val="008568A4"/>
    <w:rsid w:val="0086656D"/>
    <w:rsid w:val="00866C55"/>
    <w:rsid w:val="0087099C"/>
    <w:rsid w:val="00882277"/>
    <w:rsid w:val="00882FFC"/>
    <w:rsid w:val="00883DD9"/>
    <w:rsid w:val="00884A8E"/>
    <w:rsid w:val="008901E1"/>
    <w:rsid w:val="0089420B"/>
    <w:rsid w:val="00896130"/>
    <w:rsid w:val="008B0D02"/>
    <w:rsid w:val="008B24C1"/>
    <w:rsid w:val="008B3771"/>
    <w:rsid w:val="008B472B"/>
    <w:rsid w:val="008B4F74"/>
    <w:rsid w:val="008C12C3"/>
    <w:rsid w:val="008C29A8"/>
    <w:rsid w:val="008C42B3"/>
    <w:rsid w:val="008C4B1B"/>
    <w:rsid w:val="008D07CA"/>
    <w:rsid w:val="008D2FE7"/>
    <w:rsid w:val="008D6DA4"/>
    <w:rsid w:val="008E3A11"/>
    <w:rsid w:val="008E53C9"/>
    <w:rsid w:val="00901917"/>
    <w:rsid w:val="00913408"/>
    <w:rsid w:val="00924764"/>
    <w:rsid w:val="00930D7B"/>
    <w:rsid w:val="009328AE"/>
    <w:rsid w:val="00933964"/>
    <w:rsid w:val="00934847"/>
    <w:rsid w:val="009377BE"/>
    <w:rsid w:val="009418F1"/>
    <w:rsid w:val="0094564A"/>
    <w:rsid w:val="0094672C"/>
    <w:rsid w:val="00956EE1"/>
    <w:rsid w:val="00962CBA"/>
    <w:rsid w:val="00962D62"/>
    <w:rsid w:val="00962FDE"/>
    <w:rsid w:val="00963FFE"/>
    <w:rsid w:val="009653BD"/>
    <w:rsid w:val="009717D3"/>
    <w:rsid w:val="00982836"/>
    <w:rsid w:val="00984993"/>
    <w:rsid w:val="00985A34"/>
    <w:rsid w:val="00987664"/>
    <w:rsid w:val="00990078"/>
    <w:rsid w:val="00990992"/>
    <w:rsid w:val="00991FE2"/>
    <w:rsid w:val="00994472"/>
    <w:rsid w:val="00995832"/>
    <w:rsid w:val="009A0EF9"/>
    <w:rsid w:val="009A1129"/>
    <w:rsid w:val="009A5169"/>
    <w:rsid w:val="009B4FFD"/>
    <w:rsid w:val="009C139D"/>
    <w:rsid w:val="009D10EF"/>
    <w:rsid w:val="009D1CA5"/>
    <w:rsid w:val="009D48B9"/>
    <w:rsid w:val="009E1145"/>
    <w:rsid w:val="009E1AB3"/>
    <w:rsid w:val="009E6374"/>
    <w:rsid w:val="009E7485"/>
    <w:rsid w:val="009F01BE"/>
    <w:rsid w:val="00A045F4"/>
    <w:rsid w:val="00A05BFB"/>
    <w:rsid w:val="00A15592"/>
    <w:rsid w:val="00A1618E"/>
    <w:rsid w:val="00A17F17"/>
    <w:rsid w:val="00A20017"/>
    <w:rsid w:val="00A259CC"/>
    <w:rsid w:val="00A302E1"/>
    <w:rsid w:val="00A37138"/>
    <w:rsid w:val="00A4444A"/>
    <w:rsid w:val="00A44D92"/>
    <w:rsid w:val="00A4628E"/>
    <w:rsid w:val="00A51C88"/>
    <w:rsid w:val="00A54625"/>
    <w:rsid w:val="00A5525A"/>
    <w:rsid w:val="00A604DB"/>
    <w:rsid w:val="00A61ABA"/>
    <w:rsid w:val="00A66826"/>
    <w:rsid w:val="00A718A8"/>
    <w:rsid w:val="00A95CCB"/>
    <w:rsid w:val="00A95D9D"/>
    <w:rsid w:val="00AA2EC9"/>
    <w:rsid w:val="00AA3BC2"/>
    <w:rsid w:val="00AA4532"/>
    <w:rsid w:val="00AB5767"/>
    <w:rsid w:val="00AC02EA"/>
    <w:rsid w:val="00AC2C94"/>
    <w:rsid w:val="00AD050E"/>
    <w:rsid w:val="00AD0AE6"/>
    <w:rsid w:val="00AD108A"/>
    <w:rsid w:val="00AD24CE"/>
    <w:rsid w:val="00AE1D4A"/>
    <w:rsid w:val="00AE5409"/>
    <w:rsid w:val="00AF0D77"/>
    <w:rsid w:val="00AF2798"/>
    <w:rsid w:val="00AF51B4"/>
    <w:rsid w:val="00AF6373"/>
    <w:rsid w:val="00B066C0"/>
    <w:rsid w:val="00B06C8E"/>
    <w:rsid w:val="00B118B2"/>
    <w:rsid w:val="00B120A4"/>
    <w:rsid w:val="00B122A6"/>
    <w:rsid w:val="00B24771"/>
    <w:rsid w:val="00B25B0E"/>
    <w:rsid w:val="00B26D3A"/>
    <w:rsid w:val="00B272A6"/>
    <w:rsid w:val="00B328D1"/>
    <w:rsid w:val="00B37262"/>
    <w:rsid w:val="00B4019D"/>
    <w:rsid w:val="00B41D91"/>
    <w:rsid w:val="00B45276"/>
    <w:rsid w:val="00B463EB"/>
    <w:rsid w:val="00B520AA"/>
    <w:rsid w:val="00B61272"/>
    <w:rsid w:val="00B65070"/>
    <w:rsid w:val="00B71B23"/>
    <w:rsid w:val="00B84966"/>
    <w:rsid w:val="00B87C40"/>
    <w:rsid w:val="00B9329C"/>
    <w:rsid w:val="00BA185E"/>
    <w:rsid w:val="00BB1D41"/>
    <w:rsid w:val="00BC4380"/>
    <w:rsid w:val="00BD022E"/>
    <w:rsid w:val="00BD42FF"/>
    <w:rsid w:val="00BE03DA"/>
    <w:rsid w:val="00BE3ED2"/>
    <w:rsid w:val="00BE4F29"/>
    <w:rsid w:val="00BF29AE"/>
    <w:rsid w:val="00C04712"/>
    <w:rsid w:val="00C10C1A"/>
    <w:rsid w:val="00C14450"/>
    <w:rsid w:val="00C14D1B"/>
    <w:rsid w:val="00C22030"/>
    <w:rsid w:val="00C26A2F"/>
    <w:rsid w:val="00C26C39"/>
    <w:rsid w:val="00C33CBB"/>
    <w:rsid w:val="00C35072"/>
    <w:rsid w:val="00C46074"/>
    <w:rsid w:val="00C54051"/>
    <w:rsid w:val="00C54140"/>
    <w:rsid w:val="00C54491"/>
    <w:rsid w:val="00C57D3D"/>
    <w:rsid w:val="00C64315"/>
    <w:rsid w:val="00C645FA"/>
    <w:rsid w:val="00C72CF2"/>
    <w:rsid w:val="00C804C6"/>
    <w:rsid w:val="00C81EF3"/>
    <w:rsid w:val="00C8230A"/>
    <w:rsid w:val="00C864E8"/>
    <w:rsid w:val="00C871D4"/>
    <w:rsid w:val="00C967C2"/>
    <w:rsid w:val="00C96C90"/>
    <w:rsid w:val="00CA4ECF"/>
    <w:rsid w:val="00CB034E"/>
    <w:rsid w:val="00CB143A"/>
    <w:rsid w:val="00CB3651"/>
    <w:rsid w:val="00CB4618"/>
    <w:rsid w:val="00CC06FA"/>
    <w:rsid w:val="00CC2B35"/>
    <w:rsid w:val="00CC522E"/>
    <w:rsid w:val="00CD3FA3"/>
    <w:rsid w:val="00CE2DEA"/>
    <w:rsid w:val="00CF0146"/>
    <w:rsid w:val="00CF18FC"/>
    <w:rsid w:val="00D00152"/>
    <w:rsid w:val="00D07AC4"/>
    <w:rsid w:val="00D139FC"/>
    <w:rsid w:val="00D21CA5"/>
    <w:rsid w:val="00D26E50"/>
    <w:rsid w:val="00D3589D"/>
    <w:rsid w:val="00D4139B"/>
    <w:rsid w:val="00D41ABD"/>
    <w:rsid w:val="00D435D8"/>
    <w:rsid w:val="00D43D8E"/>
    <w:rsid w:val="00D4639C"/>
    <w:rsid w:val="00D53D8F"/>
    <w:rsid w:val="00D61A6A"/>
    <w:rsid w:val="00D62895"/>
    <w:rsid w:val="00D72775"/>
    <w:rsid w:val="00D76002"/>
    <w:rsid w:val="00D855CF"/>
    <w:rsid w:val="00D95387"/>
    <w:rsid w:val="00DA23ED"/>
    <w:rsid w:val="00DA3672"/>
    <w:rsid w:val="00DA3D25"/>
    <w:rsid w:val="00DA6886"/>
    <w:rsid w:val="00DB1728"/>
    <w:rsid w:val="00DB27CA"/>
    <w:rsid w:val="00DB2B7F"/>
    <w:rsid w:val="00DB410A"/>
    <w:rsid w:val="00DB5626"/>
    <w:rsid w:val="00DB7212"/>
    <w:rsid w:val="00DC3530"/>
    <w:rsid w:val="00DD0111"/>
    <w:rsid w:val="00DD0303"/>
    <w:rsid w:val="00DD2D5B"/>
    <w:rsid w:val="00DE031B"/>
    <w:rsid w:val="00DE1B8E"/>
    <w:rsid w:val="00DE212B"/>
    <w:rsid w:val="00DE2BF7"/>
    <w:rsid w:val="00DE73A7"/>
    <w:rsid w:val="00DF5AF5"/>
    <w:rsid w:val="00DF610B"/>
    <w:rsid w:val="00DF6D4D"/>
    <w:rsid w:val="00E12475"/>
    <w:rsid w:val="00E13B9C"/>
    <w:rsid w:val="00E233BE"/>
    <w:rsid w:val="00E372D1"/>
    <w:rsid w:val="00E41EE6"/>
    <w:rsid w:val="00E5101B"/>
    <w:rsid w:val="00E54388"/>
    <w:rsid w:val="00E5449E"/>
    <w:rsid w:val="00E54B96"/>
    <w:rsid w:val="00E66635"/>
    <w:rsid w:val="00E773D6"/>
    <w:rsid w:val="00E77A7E"/>
    <w:rsid w:val="00E81C1B"/>
    <w:rsid w:val="00E8271B"/>
    <w:rsid w:val="00E932CA"/>
    <w:rsid w:val="00E95367"/>
    <w:rsid w:val="00EA0976"/>
    <w:rsid w:val="00EA0C2D"/>
    <w:rsid w:val="00EA33D1"/>
    <w:rsid w:val="00EA6E7D"/>
    <w:rsid w:val="00EB2C99"/>
    <w:rsid w:val="00EB5208"/>
    <w:rsid w:val="00EC31D4"/>
    <w:rsid w:val="00ED18F9"/>
    <w:rsid w:val="00ED2CD9"/>
    <w:rsid w:val="00EE0FD4"/>
    <w:rsid w:val="00EE2480"/>
    <w:rsid w:val="00EE6A40"/>
    <w:rsid w:val="00EF086A"/>
    <w:rsid w:val="00EF3ED5"/>
    <w:rsid w:val="00EF5A95"/>
    <w:rsid w:val="00F06D1E"/>
    <w:rsid w:val="00F06E96"/>
    <w:rsid w:val="00F12F1C"/>
    <w:rsid w:val="00F150FB"/>
    <w:rsid w:val="00F16D48"/>
    <w:rsid w:val="00F17965"/>
    <w:rsid w:val="00F23EC0"/>
    <w:rsid w:val="00F26C93"/>
    <w:rsid w:val="00F32785"/>
    <w:rsid w:val="00F33533"/>
    <w:rsid w:val="00F352A3"/>
    <w:rsid w:val="00F36CD4"/>
    <w:rsid w:val="00F42FBC"/>
    <w:rsid w:val="00F53962"/>
    <w:rsid w:val="00F53A3D"/>
    <w:rsid w:val="00F54E1D"/>
    <w:rsid w:val="00F62AFB"/>
    <w:rsid w:val="00F661ED"/>
    <w:rsid w:val="00F83A04"/>
    <w:rsid w:val="00F93376"/>
    <w:rsid w:val="00FA2787"/>
    <w:rsid w:val="00FA5B40"/>
    <w:rsid w:val="00FB19BE"/>
    <w:rsid w:val="00FC62FB"/>
    <w:rsid w:val="00FC7A6D"/>
    <w:rsid w:val="00FD30CD"/>
    <w:rsid w:val="00FD45F6"/>
    <w:rsid w:val="00FE4DD2"/>
    <w:rsid w:val="00FF1FED"/>
    <w:rsid w:val="00FF5A30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3A"/>
    <w:pPr>
      <w:ind w:left="720"/>
      <w:contextualSpacing/>
    </w:pPr>
  </w:style>
  <w:style w:type="table" w:styleId="a4">
    <w:name w:val="Table Grid"/>
    <w:basedOn w:val="a1"/>
    <w:uiPriority w:val="59"/>
    <w:rsid w:val="00CB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775D00"/>
    <w:rPr>
      <w:b/>
      <w:i/>
    </w:rPr>
  </w:style>
  <w:style w:type="character" w:customStyle="1" w:styleId="20">
    <w:name w:val="Заголовок 2 Знак"/>
    <w:basedOn w:val="a0"/>
    <w:link w:val="2"/>
    <w:uiPriority w:val="9"/>
    <w:rsid w:val="00CE2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uiPriority w:val="99"/>
    <w:rsid w:val="00000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0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382F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2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82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6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3A"/>
    <w:pPr>
      <w:ind w:left="720"/>
      <w:contextualSpacing/>
    </w:pPr>
  </w:style>
  <w:style w:type="table" w:styleId="a4">
    <w:name w:val="Table Grid"/>
    <w:basedOn w:val="a1"/>
    <w:uiPriority w:val="59"/>
    <w:rsid w:val="00CB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775D00"/>
    <w:rPr>
      <w:b/>
      <w:i/>
    </w:rPr>
  </w:style>
  <w:style w:type="character" w:customStyle="1" w:styleId="20">
    <w:name w:val="Заголовок 2 Знак"/>
    <w:basedOn w:val="a0"/>
    <w:link w:val="2"/>
    <w:uiPriority w:val="9"/>
    <w:rsid w:val="00CE2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uiPriority w:val="99"/>
    <w:rsid w:val="00000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0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382F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2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82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6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89A2CAE77C0F286A2E7D946FA87D81E95F74AFF8C8468D14BBDF9D93D6755F51BE3C2082248A0w6sEE" TargetMode="External"/><Relationship Id="rId13" Type="http://schemas.openxmlformats.org/officeDocument/2006/relationships/hyperlink" Target="http://www.e-iscloure.ru/portal/company.aspx?id=23832" TargetMode="External"/><Relationship Id="rId18" Type="http://schemas.openxmlformats.org/officeDocument/2006/relationships/hyperlink" Target="consultantplus://offline/ref=417ED14294EA05B20E2EFD0A396CB660ACC136F2C2417BCEF4D4363E7F1386C41C8B72AFD2B651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factor.ru" TargetMode="External"/><Relationship Id="rId7" Type="http://schemas.openxmlformats.org/officeDocument/2006/relationships/hyperlink" Target="consultantplus://offline/ref=61989A2CAE77C0F286A2E7D946FA87D81C91F24DF9898468D14BBDF9D93D6755F51BE3C600w2sAE" TargetMode="External"/><Relationship Id="rId12" Type="http://schemas.openxmlformats.org/officeDocument/2006/relationships/hyperlink" Target="http://www.e-iscloure.ru/portal/company.aspx?id=23832" TargetMode="External"/><Relationship Id="rId17" Type="http://schemas.openxmlformats.org/officeDocument/2006/relationships/hyperlink" Target="consultantplus://offline/ref=61989A2CAE77C0F286A2E7D946FA87D81D9BF142FB888468D14BBDF9D93D6755F51BE3C2082248A2w6sCE" TargetMode="External"/><Relationship Id="rId25" Type="http://schemas.openxmlformats.org/officeDocument/2006/relationships/hyperlink" Target="mailto:maxxwell@lis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989A2CAE77C0F286A2E7D946FA87D81C91F24DF9898468D14BBDF9D93D6755F51BE3C600w2sAE" TargetMode="External"/><Relationship Id="rId20" Type="http://schemas.openxmlformats.org/officeDocument/2006/relationships/hyperlink" Target="consultantplus://offline/ref=417ED14294EA05B20E2EFD0A396CB660AEC533F5C4447BCEF4D4363E7F1386C41C8B72ABDA6934F6B35F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989A2CAE77C0F286A2E7D946FA87D81C91F24DF9898468D14BBDF9D93D6755F51BE3C60Dw2s1E" TargetMode="External"/><Relationship Id="rId11" Type="http://schemas.openxmlformats.org/officeDocument/2006/relationships/hyperlink" Target="http://www.e-iscloure.ru/portal/company.aspx?id=23832" TargetMode="External"/><Relationship Id="rId24" Type="http://schemas.openxmlformats.org/officeDocument/2006/relationships/hyperlink" Target="consultantplus://offline/ref=61989A2CAE77C0F286A2E7D946FA87D81E9AF14DFD8B8468D14BBDF9D93D6755F51BE3C208224AA4w6s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989A2CAE77C0F286A2E7D946FA87D81D9BF142FB888468D14BBDF9D93D6755F51BE3C2082248A2w6sEE" TargetMode="External"/><Relationship Id="rId23" Type="http://schemas.openxmlformats.org/officeDocument/2006/relationships/hyperlink" Target="consultantplus://offline/ref=417ED14294EA05B20E2EFD0A396CB660AEC533F5C4447BCEF4D4363E7F1386C41C8B72ABDA6934F6B35FD" TargetMode="External"/><Relationship Id="rId10" Type="http://schemas.openxmlformats.org/officeDocument/2006/relationships/hyperlink" Target="mailto:maxxwell@list.ru" TargetMode="External"/><Relationship Id="rId19" Type="http://schemas.openxmlformats.org/officeDocument/2006/relationships/hyperlink" Target="consultantplus://offline/ref=61989A2CAE77C0F286A2E7D946FA87D81E95F74AFF8C8468D14BBDF9D93D6755F51BE3C2082248A0w6s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xxwell@list.ru" TargetMode="External"/><Relationship Id="rId14" Type="http://schemas.openxmlformats.org/officeDocument/2006/relationships/hyperlink" Target="consultantplus://offline/ref=61989A2CAE77C0F286A2E7D946FA87D81C91F24DF9898468D14BBDF9D93D6755F51BE3C60Dw2s1E" TargetMode="External"/><Relationship Id="rId22" Type="http://schemas.openxmlformats.org/officeDocument/2006/relationships/hyperlink" Target="http://www.e-iscloure.ru/portal/company.aspx?id=238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26</Pages>
  <Words>11857</Words>
  <Characters>67585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Демченко</dc:creator>
  <cp:lastModifiedBy>Демченко</cp:lastModifiedBy>
  <cp:revision>225</cp:revision>
  <dcterms:created xsi:type="dcterms:W3CDTF">2020-03-18T07:10:00Z</dcterms:created>
  <dcterms:modified xsi:type="dcterms:W3CDTF">2020-10-01T06:26:00Z</dcterms:modified>
</cp:coreProperties>
</file>